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E6" w:rsidRPr="00E24A16" w:rsidRDefault="005F2AE6" w:rsidP="005F2AE6">
      <w:pPr>
        <w:pStyle w:val="Nagwek"/>
        <w:jc w:val="right"/>
        <w:rPr>
          <w:i/>
          <w:sz w:val="16"/>
          <w:szCs w:val="16"/>
        </w:rPr>
      </w:pPr>
      <w:bookmarkStart w:id="0" w:name="_GoBack"/>
      <w:bookmarkEnd w:id="0"/>
      <w:r w:rsidRPr="00E24A16">
        <w:rPr>
          <w:i/>
          <w:sz w:val="16"/>
          <w:szCs w:val="16"/>
        </w:rPr>
        <w:t>Załącznik nr 2</w:t>
      </w:r>
    </w:p>
    <w:p w:rsidR="005F2AE6" w:rsidRPr="00E24A16" w:rsidRDefault="005F2AE6" w:rsidP="005F2AE6">
      <w:pPr>
        <w:pStyle w:val="Nagwek"/>
        <w:jc w:val="right"/>
        <w:rPr>
          <w:i/>
          <w:sz w:val="16"/>
          <w:szCs w:val="16"/>
        </w:rPr>
      </w:pPr>
      <w:r w:rsidRPr="00E24A16">
        <w:rPr>
          <w:i/>
          <w:sz w:val="16"/>
          <w:szCs w:val="16"/>
        </w:rPr>
        <w:t>do Regulaminu naboru wniosków o wsparcie na wdrażanie LSR</w:t>
      </w:r>
    </w:p>
    <w:tbl>
      <w:tblPr>
        <w:tblW w:w="15593"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5"/>
        <w:gridCol w:w="5670"/>
        <w:gridCol w:w="3686"/>
        <w:gridCol w:w="2835"/>
        <w:gridCol w:w="1559"/>
      </w:tblGrid>
      <w:tr w:rsidR="005F2AE6" w:rsidRPr="00A70A1C" w:rsidTr="005F2AE6">
        <w:trPr>
          <w:trHeight w:val="420"/>
        </w:trPr>
        <w:tc>
          <w:tcPr>
            <w:tcW w:w="15593" w:type="dxa"/>
            <w:gridSpan w:val="6"/>
            <w:shd w:val="clear" w:color="auto" w:fill="F8F8F8"/>
          </w:tcPr>
          <w:p w:rsidR="005F2AE6" w:rsidRPr="00A664EF" w:rsidRDefault="005F2AE6" w:rsidP="008D6F62">
            <w:pPr>
              <w:pStyle w:val="Normalny2"/>
              <w:ind w:right="113"/>
              <w:rPr>
                <w:rFonts w:asciiTheme="minorHAnsi" w:eastAsia="Calibri" w:hAnsiTheme="minorHAnsi" w:cstheme="minorHAnsi"/>
                <w:b/>
              </w:rPr>
            </w:pPr>
            <w:bookmarkStart w:id="1" w:name="_Hlk163515338"/>
            <w:r w:rsidRPr="00A664EF">
              <w:rPr>
                <w:rFonts w:asciiTheme="minorHAnsi" w:eastAsia="Calibri" w:hAnsiTheme="minorHAnsi" w:cstheme="minorHAnsi"/>
                <w:b/>
              </w:rPr>
              <w:t xml:space="preserve">Przedsięwzięcie  1.2. </w:t>
            </w:r>
          </w:p>
          <w:p w:rsidR="005F2AE6" w:rsidRPr="00A664EF" w:rsidRDefault="005F2AE6" w:rsidP="008D6F62">
            <w:pPr>
              <w:pStyle w:val="Normalny2"/>
              <w:ind w:right="113"/>
              <w:rPr>
                <w:rFonts w:asciiTheme="minorHAnsi" w:eastAsia="Calibri" w:hAnsiTheme="minorHAnsi" w:cstheme="minorHAnsi"/>
                <w:b/>
              </w:rPr>
            </w:pPr>
            <w:r w:rsidRPr="00A664EF">
              <w:rPr>
                <w:rFonts w:asciiTheme="minorHAnsi" w:hAnsiTheme="minorHAnsi" w:cstheme="minorHAnsi"/>
              </w:rPr>
              <w:t>Rozwijanie pozarolniczej przyjaznej środowisku działalności gospodarczej</w:t>
            </w:r>
          </w:p>
        </w:tc>
      </w:tr>
      <w:tr w:rsidR="005F2AE6" w:rsidRPr="00EF3783"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73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EF3783" w:rsidRDefault="005F2AE6" w:rsidP="008D6F62">
            <w:pPr>
              <w:suppressAutoHyphens/>
              <w:spacing w:before="240" w:after="120"/>
              <w:jc w:val="center"/>
              <w:rPr>
                <w:rFonts w:ascii="Times New Roman" w:eastAsia="Times New Roman" w:hAnsi="Times New Roman"/>
                <w:b/>
                <w:lang w:eastAsia="zh-CN"/>
              </w:rPr>
            </w:pPr>
            <w:r w:rsidRPr="00EF3783">
              <w:rPr>
                <w:rFonts w:ascii="Times New Roman" w:eastAsia="Times New Roman" w:hAnsi="Times New Roman"/>
                <w:b/>
                <w:lang w:eastAsia="zh-CN"/>
              </w:rPr>
              <w:t>Lp.</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EF3783" w:rsidRDefault="005F2AE6" w:rsidP="008D6F62">
            <w:pPr>
              <w:suppressAutoHyphens/>
              <w:spacing w:before="240" w:after="120"/>
              <w:jc w:val="center"/>
              <w:rPr>
                <w:rFonts w:ascii="Times New Roman" w:eastAsia="Times New Roman" w:hAnsi="Times New Roman"/>
                <w:b/>
                <w:lang w:eastAsia="zh-CN"/>
              </w:rPr>
            </w:pPr>
            <w:r w:rsidRPr="00EF3783">
              <w:rPr>
                <w:rFonts w:ascii="Times New Roman" w:eastAsia="Times New Roman" w:hAnsi="Times New Roman"/>
                <w:b/>
                <w:lang w:eastAsia="zh-CN"/>
              </w:rPr>
              <w:t>Nazwa kryterium</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Definicja kryterium</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Zasady oceny</w:t>
            </w:r>
          </w:p>
        </w:tc>
        <w:tc>
          <w:tcPr>
            <w:tcW w:w="2835" w:type="dxa"/>
            <w:tcBorders>
              <w:top w:val="single" w:sz="8" w:space="0" w:color="000000"/>
              <w:left w:val="nil"/>
              <w:bottom w:val="single" w:sz="8" w:space="0" w:color="000000"/>
              <w:right w:val="single" w:sz="8" w:space="0" w:color="000000"/>
            </w:tcBorders>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Liczba punktów</w:t>
            </w:r>
          </w:p>
        </w:tc>
        <w:tc>
          <w:tcPr>
            <w:tcW w:w="1559" w:type="dxa"/>
            <w:tcBorders>
              <w:top w:val="single" w:sz="8" w:space="0" w:color="000000"/>
              <w:left w:val="nil"/>
              <w:bottom w:val="single" w:sz="8" w:space="0" w:color="000000"/>
              <w:right w:val="single" w:sz="8" w:space="0" w:color="000000"/>
            </w:tcBorders>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Kryterium rozstrzygające</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1888"/>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1.</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lang w:eastAsia="zh-CN"/>
              </w:rPr>
              <w:t>Tworzenie nowych miejsc pracy szczególnie z grup w niekorzystnej sytuacji</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Default="005F2AE6" w:rsidP="008D6F62">
            <w:pPr>
              <w:suppressAutoHyphens/>
              <w:spacing w:after="120"/>
              <w:rPr>
                <w:rFonts w:eastAsia="Times New Roman" w:cstheme="minorHAnsi"/>
                <w:lang w:eastAsia="zh-CN"/>
              </w:rPr>
            </w:pPr>
            <w:r w:rsidRPr="00A664EF">
              <w:rPr>
                <w:rFonts w:eastAsia="Times New Roman" w:cstheme="minorHAnsi"/>
                <w:lang w:eastAsia="zh-CN"/>
              </w:rPr>
              <w:t>Preferowane są operacje, które przyczynią się do tworzenia nowych miejsc pracy w szczególności dla osób z grup w niekorzystnej sytuacji</w:t>
            </w:r>
            <w:r>
              <w:rPr>
                <w:rFonts w:eastAsia="Times New Roman" w:cstheme="minorHAnsi"/>
                <w:lang w:eastAsia="zh-CN"/>
              </w:rPr>
              <w:t>.</w:t>
            </w:r>
          </w:p>
          <w:p w:rsidR="005F2AE6" w:rsidRPr="00A664EF" w:rsidRDefault="005F2AE6" w:rsidP="008D6F62">
            <w:pPr>
              <w:suppressAutoHyphens/>
              <w:spacing w:after="0"/>
              <w:rPr>
                <w:rFonts w:eastAsia="Times New Roman" w:cstheme="minorHAnsi"/>
                <w:lang w:eastAsia="zh-CN"/>
              </w:rPr>
            </w:pPr>
            <w:r w:rsidRPr="00A664EF">
              <w:rPr>
                <w:rFonts w:eastAsia="Times New Roman" w:cstheme="minorHAnsi"/>
                <w:lang w:eastAsia="zh-CN"/>
              </w:rPr>
              <w:t>Miejsce pracy musi</w:t>
            </w:r>
            <w:r>
              <w:rPr>
                <w:rFonts w:eastAsia="Times New Roman" w:cstheme="minorHAnsi"/>
                <w:lang w:eastAsia="zh-CN"/>
              </w:rPr>
              <w:t xml:space="preserve"> </w:t>
            </w:r>
            <w:r w:rsidRPr="00A664EF">
              <w:rPr>
                <w:rFonts w:eastAsia="Times New Roman" w:cstheme="minorHAnsi"/>
                <w:lang w:eastAsia="zh-CN"/>
              </w:rPr>
              <w:t>być uzasadnione zakresem projektu, zostać utworzone w terminie</w:t>
            </w:r>
            <w:r>
              <w:rPr>
                <w:rFonts w:eastAsia="Times New Roman" w:cstheme="minorHAnsi"/>
                <w:lang w:eastAsia="zh-CN"/>
              </w:rPr>
              <w:t xml:space="preserve"> </w:t>
            </w:r>
            <w:r w:rsidRPr="00A664EF">
              <w:rPr>
                <w:rFonts w:eastAsia="Times New Roman" w:cstheme="minorHAnsi"/>
                <w:lang w:eastAsia="zh-CN"/>
              </w:rPr>
              <w:t>realizacji projektu, a osoba dla której powstanie musi zostać</w:t>
            </w:r>
          </w:p>
          <w:p w:rsidR="005F2AE6" w:rsidRPr="00A664EF" w:rsidRDefault="005F2AE6" w:rsidP="008D6F62">
            <w:pPr>
              <w:suppressAutoHyphens/>
              <w:spacing w:after="0"/>
              <w:rPr>
                <w:rFonts w:eastAsia="Times New Roman" w:cstheme="minorHAnsi"/>
                <w:lang w:eastAsia="zh-CN"/>
              </w:rPr>
            </w:pPr>
            <w:r w:rsidRPr="00A664EF">
              <w:rPr>
                <w:rFonts w:eastAsia="Times New Roman" w:cstheme="minorHAnsi"/>
                <w:lang w:eastAsia="zh-CN"/>
              </w:rPr>
              <w:t>zatrudniona na podstawie umowy o pracę.</w:t>
            </w:r>
          </w:p>
          <w:p w:rsidR="005F2AE6" w:rsidRDefault="005F2AE6" w:rsidP="008D6F62">
            <w:pPr>
              <w:suppressAutoHyphens/>
              <w:spacing w:after="120"/>
              <w:rPr>
                <w:rFonts w:eastAsia="Times New Roman" w:cstheme="minorHAnsi"/>
                <w:lang w:eastAsia="zh-CN"/>
              </w:rPr>
            </w:pPr>
          </w:p>
          <w:p w:rsidR="005F2AE6" w:rsidRPr="00A664EF" w:rsidRDefault="005F2AE6" w:rsidP="008D6F62">
            <w:pPr>
              <w:suppressAutoHyphens/>
              <w:spacing w:after="120"/>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Punktacja w ramach kryterium zostanie przyznana, jeżeli</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wnioskodawca zadeklaruje we wniosku o przyznanie wsparcia</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tworzenie nowych miejsc pracy i utrzymanie ich w okresie związania z celem</w:t>
            </w:r>
            <w:r>
              <w:rPr>
                <w:rFonts w:eastAsia="Times New Roman" w:cstheme="minorHAnsi"/>
                <w:lang w:eastAsia="zh-CN"/>
              </w:rPr>
              <w:t xml:space="preserve"> </w:t>
            </w:r>
            <w:r w:rsidRPr="00A664EF">
              <w:rPr>
                <w:rFonts w:eastAsia="Times New Roman" w:cstheme="minorHAnsi"/>
                <w:lang w:eastAsia="zh-CN"/>
              </w:rPr>
              <w:t xml:space="preserve">projektu (3 lata od dnia płatności końcowej). </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Wnioskodawca chcąc otrzymać punkty w ramach niniejszego</w:t>
            </w:r>
            <w:r>
              <w:rPr>
                <w:rFonts w:eastAsia="Times New Roman" w:cstheme="minorHAnsi"/>
                <w:lang w:eastAsia="zh-CN"/>
              </w:rPr>
              <w:t xml:space="preserve"> </w:t>
            </w:r>
            <w:r w:rsidRPr="00A664EF">
              <w:rPr>
                <w:rFonts w:eastAsia="Times New Roman" w:cstheme="minorHAnsi"/>
                <w:lang w:eastAsia="zh-CN"/>
              </w:rPr>
              <w:t>kryterium winien wskazać w przedłożonym wniosku o wsparcie</w:t>
            </w:r>
            <w:r>
              <w:rPr>
                <w:rFonts w:eastAsia="Times New Roman" w:cstheme="minorHAnsi"/>
                <w:lang w:eastAsia="zh-CN"/>
              </w:rPr>
              <w:t xml:space="preserve"> </w:t>
            </w:r>
            <w:r w:rsidRPr="00A664EF">
              <w:rPr>
                <w:rFonts w:eastAsia="Times New Roman" w:cstheme="minorHAnsi"/>
                <w:lang w:eastAsia="zh-CN"/>
              </w:rPr>
              <w:t>informacje o planowanym zatrudnieniu i uwzględnić we</w:t>
            </w:r>
            <w:r>
              <w:rPr>
                <w:rFonts w:eastAsia="Times New Roman" w:cstheme="minorHAnsi"/>
                <w:lang w:eastAsia="zh-CN"/>
              </w:rPr>
              <w:t xml:space="preserve"> </w:t>
            </w:r>
            <w:r w:rsidRPr="00A664EF">
              <w:rPr>
                <w:rFonts w:eastAsia="Times New Roman" w:cstheme="minorHAnsi"/>
                <w:lang w:eastAsia="zh-CN"/>
              </w:rPr>
              <w:t>wskaźnikach operacji „Liczba nowych miejsc pracy”.</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W sytuacji zawarcia umowy o przyznanie pomocy złożona</w:t>
            </w:r>
            <w:r>
              <w:rPr>
                <w:rFonts w:eastAsia="Times New Roman" w:cstheme="minorHAnsi"/>
                <w:lang w:eastAsia="zh-CN"/>
              </w:rPr>
              <w:t xml:space="preserve"> </w:t>
            </w:r>
            <w:r w:rsidRPr="00A664EF">
              <w:rPr>
                <w:rFonts w:eastAsia="Times New Roman" w:cstheme="minorHAnsi"/>
                <w:lang w:eastAsia="zh-CN"/>
              </w:rPr>
              <w:t>deklaracja o tworzeniu nowych miejsc pracy w ramach operacji</w:t>
            </w:r>
            <w:r>
              <w:rPr>
                <w:rFonts w:eastAsia="Times New Roman" w:cstheme="minorHAnsi"/>
                <w:lang w:eastAsia="zh-CN"/>
              </w:rPr>
              <w:t xml:space="preserve"> </w:t>
            </w:r>
            <w:r w:rsidRPr="00A664EF">
              <w:rPr>
                <w:rFonts w:eastAsia="Times New Roman" w:cstheme="minorHAnsi"/>
                <w:lang w:eastAsia="zh-CN"/>
              </w:rPr>
              <w:t xml:space="preserve">zostanie </w:t>
            </w:r>
            <w:r w:rsidRPr="00A664EF">
              <w:rPr>
                <w:rFonts w:eastAsia="Times New Roman" w:cstheme="minorHAnsi"/>
                <w:lang w:eastAsia="zh-CN"/>
              </w:rPr>
              <w:lastRenderedPageBreak/>
              <w:t>uwzględniona w zobowiązaniach beneficjenta.</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Beneficjent zobligowany będzie do udokumentowania jej realizacji</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poprzez przedstawienie np. umów o pracę, deklaracji ZUS.</w:t>
            </w:r>
          </w:p>
        </w:tc>
        <w:tc>
          <w:tcPr>
            <w:tcW w:w="2835" w:type="dxa"/>
            <w:tcBorders>
              <w:top w:val="nil"/>
              <w:left w:val="nil"/>
              <w:bottom w:val="single" w:sz="8" w:space="0" w:color="000000"/>
              <w:right w:val="single" w:sz="8" w:space="0" w:color="000000"/>
            </w:tcBorders>
          </w:tcPr>
          <w:p w:rsidR="005F2AE6" w:rsidRPr="008022AA" w:rsidRDefault="005F2AE6" w:rsidP="008D6F62">
            <w:pPr>
              <w:suppressAutoHyphens/>
              <w:spacing w:after="120"/>
              <w:rPr>
                <w:rFonts w:eastAsia="Times New Roman" w:cstheme="minorHAnsi"/>
                <w:lang w:eastAsia="zh-CN"/>
              </w:rPr>
            </w:pPr>
            <w:r w:rsidRPr="008022AA">
              <w:rPr>
                <w:rFonts w:eastAsia="Times New Roman" w:cstheme="minorHAnsi"/>
                <w:b/>
                <w:bCs/>
                <w:lang w:eastAsia="zh-CN"/>
              </w:rPr>
              <w:lastRenderedPageBreak/>
              <w:t>15 pkt</w:t>
            </w:r>
            <w:r>
              <w:rPr>
                <w:rFonts w:eastAsia="Times New Roman" w:cstheme="minorHAnsi"/>
                <w:lang w:eastAsia="zh-CN"/>
              </w:rPr>
              <w:t xml:space="preserve"> </w:t>
            </w:r>
            <w:r w:rsidRPr="008022AA">
              <w:rPr>
                <w:rFonts w:eastAsia="Times New Roman" w:cstheme="minorHAnsi"/>
                <w:lang w:eastAsia="zh-CN"/>
              </w:rPr>
              <w:t xml:space="preserve">- Jeżeli operacja zakłada utworzenie co najmniej 1 nowego miejsca pracy </w:t>
            </w:r>
            <w:r w:rsidRPr="00431567">
              <w:rPr>
                <w:rFonts w:eastAsia="Times New Roman" w:cstheme="minorHAnsi"/>
                <w:lang w:eastAsia="zh-CN"/>
              </w:rPr>
              <w:t xml:space="preserve">skierowanego do grupy w niekorzystnej sytuacji tj. osób poszukujących zatrudnienia np. mieszkańców osiedli po- PGR lub osób z niepełnosprawnościami i ich opiekunów lub osób do 25 </w:t>
            </w:r>
            <w:proofErr w:type="spellStart"/>
            <w:r w:rsidRPr="00431567">
              <w:rPr>
                <w:rFonts w:eastAsia="Times New Roman" w:cstheme="minorHAnsi"/>
                <w:lang w:eastAsia="zh-CN"/>
              </w:rPr>
              <w:t>r.ż</w:t>
            </w:r>
            <w:proofErr w:type="spellEnd"/>
            <w:r w:rsidRPr="00431567">
              <w:rPr>
                <w:rFonts w:eastAsia="Times New Roman" w:cstheme="minorHAnsi"/>
                <w:lang w:eastAsia="zh-CN"/>
              </w:rPr>
              <w:t>;</w:t>
            </w:r>
          </w:p>
          <w:p w:rsidR="005F2AE6" w:rsidRPr="008022AA" w:rsidRDefault="005F2AE6" w:rsidP="008D6F62">
            <w:pPr>
              <w:suppressAutoHyphens/>
              <w:spacing w:after="120"/>
              <w:rPr>
                <w:rFonts w:eastAsia="Times New Roman" w:cstheme="minorHAnsi"/>
                <w:lang w:eastAsia="zh-CN"/>
              </w:rPr>
            </w:pPr>
            <w:r w:rsidRPr="008022AA">
              <w:rPr>
                <w:rFonts w:eastAsia="Times New Roman" w:cstheme="minorHAnsi"/>
                <w:b/>
                <w:bCs/>
                <w:lang w:eastAsia="zh-CN"/>
              </w:rPr>
              <w:t>10 pkt</w:t>
            </w:r>
            <w:r>
              <w:rPr>
                <w:rFonts w:eastAsia="Times New Roman" w:cstheme="minorHAnsi"/>
                <w:b/>
                <w:bCs/>
                <w:lang w:eastAsia="zh-CN"/>
              </w:rPr>
              <w:t xml:space="preserve"> </w:t>
            </w:r>
            <w:r w:rsidRPr="008022AA">
              <w:rPr>
                <w:rFonts w:eastAsia="Times New Roman" w:cstheme="minorHAnsi"/>
                <w:lang w:eastAsia="zh-CN"/>
              </w:rPr>
              <w:t xml:space="preserve">- Jeżeli operacja zakłada utworzenie co najmniej 1 nowego miejsca </w:t>
            </w:r>
            <w:r w:rsidRPr="00431567">
              <w:rPr>
                <w:rFonts w:eastAsia="Times New Roman" w:cstheme="minorHAnsi"/>
                <w:lang w:eastAsia="zh-CN"/>
              </w:rPr>
              <w:t xml:space="preserve">pracy dla osób spoza </w:t>
            </w:r>
            <w:proofErr w:type="spellStart"/>
            <w:r w:rsidRPr="00431567">
              <w:rPr>
                <w:rFonts w:eastAsia="Times New Roman" w:cstheme="minorHAnsi"/>
                <w:lang w:eastAsia="zh-CN"/>
              </w:rPr>
              <w:t>ww</w:t>
            </w:r>
            <w:proofErr w:type="spellEnd"/>
            <w:r w:rsidRPr="00431567">
              <w:rPr>
                <w:rFonts w:eastAsia="Times New Roman" w:cstheme="minorHAnsi"/>
                <w:lang w:eastAsia="zh-CN"/>
              </w:rPr>
              <w:t xml:space="preserve"> grup;</w:t>
            </w:r>
          </w:p>
          <w:p w:rsidR="005F2AE6" w:rsidRDefault="005F2AE6" w:rsidP="008D6F62">
            <w:pPr>
              <w:suppressAutoHyphens/>
              <w:spacing w:after="120"/>
              <w:rPr>
                <w:rFonts w:eastAsia="Times New Roman" w:cstheme="minorHAnsi"/>
                <w:lang w:eastAsia="zh-CN"/>
              </w:rPr>
            </w:pPr>
            <w:r w:rsidRPr="008022AA">
              <w:rPr>
                <w:rFonts w:eastAsia="Times New Roman" w:cstheme="minorHAnsi"/>
                <w:lang w:eastAsia="zh-CN"/>
              </w:rPr>
              <w:t xml:space="preserve">0 pkt.- Jeżeli operacja nie </w:t>
            </w:r>
            <w:r w:rsidRPr="008022AA">
              <w:rPr>
                <w:rFonts w:eastAsia="Times New Roman" w:cstheme="minorHAnsi"/>
                <w:lang w:eastAsia="zh-CN"/>
              </w:rPr>
              <w:lastRenderedPageBreak/>
              <w:t>spełnia niniejszego kryterium.</w:t>
            </w:r>
          </w:p>
          <w:p w:rsidR="005F2AE6" w:rsidRPr="00A664EF" w:rsidRDefault="005F2AE6" w:rsidP="008D6F62">
            <w:pPr>
              <w:suppressAutoHyphens/>
              <w:spacing w:after="120"/>
              <w:jc w:val="both"/>
              <w:rPr>
                <w:rFonts w:eastAsia="Times New Roman" w:cstheme="minorHAnsi"/>
                <w:lang w:eastAsia="zh-CN"/>
              </w:rPr>
            </w:pPr>
            <w:r w:rsidRPr="002F215D">
              <w:rPr>
                <w:rFonts w:eastAsia="Times New Roman" w:cstheme="minorHAnsi"/>
                <w:b/>
                <w:bCs/>
                <w:lang w:eastAsia="zh-CN"/>
              </w:rPr>
              <w:t>Maksymalna liczba punktów: 1</w:t>
            </w:r>
            <w:r>
              <w:rPr>
                <w:rFonts w:eastAsia="Times New Roman" w:cstheme="minorHAnsi"/>
                <w:b/>
                <w:bCs/>
                <w:lang w:eastAsia="zh-CN"/>
              </w:rPr>
              <w:t>5</w:t>
            </w:r>
          </w:p>
        </w:tc>
        <w:tc>
          <w:tcPr>
            <w:tcW w:w="1559" w:type="dxa"/>
            <w:tcBorders>
              <w:top w:val="nil"/>
              <w:left w:val="nil"/>
              <w:bottom w:val="single" w:sz="8" w:space="0" w:color="000000"/>
              <w:right w:val="single" w:sz="8" w:space="0" w:color="000000"/>
            </w:tcBorders>
          </w:tcPr>
          <w:p w:rsidR="005F2AE6" w:rsidRPr="00A664E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472"/>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2.</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rPr>
                <w:rFonts w:eastAsia="Times New Roman" w:cstheme="minorHAnsi"/>
                <w:lang w:eastAsia="zh-CN"/>
              </w:rPr>
            </w:pPr>
            <w:r w:rsidRPr="00431567">
              <w:rPr>
                <w:rFonts w:eastAsia="Times New Roman" w:cstheme="minorHAnsi"/>
                <w:lang w:eastAsia="zh-CN"/>
              </w:rPr>
              <w:t>Doświadczenie wnioskodawcy w realizacji projektów o podobnym zakresie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Kryterium preferuje wnioskodawców aktywnie działających w środowisku lokalnym i posiadających doświadczenie w realizacji projektów z udziałem środków zewnętrznych (np. pochodzących z budżetu UE, publicznych środków krajowych, dotacji lub grantów ze źródeł prywatnych, czy innych organizacji).</w:t>
            </w:r>
          </w:p>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 xml:space="preserve">Oceniane jest doświadczenie Wnioskodawcy w realizacji projektów z udziałem środków zewnętrznych o podobnym zakresie do planowanego projektu.  </w:t>
            </w:r>
          </w:p>
          <w:p w:rsidR="005F2AE6" w:rsidRPr="00431567" w:rsidRDefault="005F2AE6" w:rsidP="008D6F62">
            <w:pPr>
              <w:suppressAutoHyphens/>
              <w:spacing w:after="0"/>
              <w:jc w:val="both"/>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Doświadczenie wnioskodawcy ocenia się na podstawie informacji zawartych</w:t>
            </w:r>
            <w:r w:rsidRPr="00431567">
              <w:rPr>
                <w:rFonts w:cstheme="minorHAnsi"/>
              </w:rPr>
              <w:t xml:space="preserve"> w uzasadnieniu zgodności z kryteriami wyboru operacji</w:t>
            </w:r>
            <w:r w:rsidRPr="00431567">
              <w:rPr>
                <w:rFonts w:eastAsia="Times New Roman" w:cstheme="minorHAnsi"/>
                <w:lang w:eastAsia="zh-CN"/>
              </w:rPr>
              <w:t xml:space="preserve">  oraz przedłożonych dokumentów potwierdzających zrealizowanie projektu np. sprawozdanie z realizacji projektu, umowa o przyznanie dofinansowania. Z przedłożonych dokumentów powinien wynikać, co najmniej tytułu projektu, budżet projektu, źródło finansowania oraz informacje nt. podjętych działań i rezultatów. </w:t>
            </w:r>
          </w:p>
        </w:tc>
        <w:tc>
          <w:tcPr>
            <w:tcW w:w="2835" w:type="dxa"/>
            <w:tcBorders>
              <w:top w:val="nil"/>
              <w:left w:val="nil"/>
              <w:bottom w:val="single" w:sz="8" w:space="0" w:color="000000"/>
              <w:right w:val="single" w:sz="8" w:space="0" w:color="000000"/>
            </w:tcBorders>
          </w:tcPr>
          <w:p w:rsidR="005F2AE6" w:rsidRPr="00431567" w:rsidRDefault="005F2AE6" w:rsidP="008D6F62">
            <w:pPr>
              <w:pStyle w:val="Tekstpodstawowy"/>
              <w:rPr>
                <w:rFonts w:asciiTheme="minorHAnsi" w:hAnsiTheme="minorHAnsi" w:cstheme="minorHAnsi"/>
              </w:rPr>
            </w:pPr>
            <w:r w:rsidRPr="00431567">
              <w:rPr>
                <w:rFonts w:asciiTheme="minorHAnsi" w:hAnsiTheme="minorHAnsi" w:cstheme="minorHAnsi"/>
                <w:b/>
                <w:bCs/>
              </w:rPr>
              <w:t>10 pkt -</w:t>
            </w:r>
            <w:r w:rsidRPr="00431567">
              <w:rPr>
                <w:rFonts w:asciiTheme="minorHAnsi" w:hAnsiTheme="minorHAnsi" w:cstheme="minorHAnsi"/>
              </w:rPr>
              <w:t xml:space="preserve"> jeżeli wnioskodawca posiada doświadczenie w realizacji 2 projektów i więcej;</w:t>
            </w:r>
          </w:p>
          <w:p w:rsidR="005F2AE6" w:rsidRPr="00431567" w:rsidRDefault="005F2AE6" w:rsidP="008D6F62">
            <w:pPr>
              <w:pStyle w:val="Tekstpodstawowy"/>
              <w:rPr>
                <w:rFonts w:asciiTheme="minorHAnsi" w:hAnsiTheme="minorHAnsi" w:cstheme="minorHAnsi"/>
              </w:rPr>
            </w:pPr>
            <w:r w:rsidRPr="00431567">
              <w:rPr>
                <w:rFonts w:asciiTheme="minorHAnsi" w:hAnsiTheme="minorHAnsi" w:cstheme="minorHAnsi"/>
                <w:b/>
                <w:bCs/>
              </w:rPr>
              <w:t>5 pkt -</w:t>
            </w:r>
            <w:r w:rsidRPr="00431567">
              <w:rPr>
                <w:rFonts w:asciiTheme="minorHAnsi" w:hAnsiTheme="minorHAnsi" w:cstheme="minorHAnsi"/>
              </w:rPr>
              <w:t xml:space="preserve"> jeżeli wnioskodawca posiada doświadczenie w realizacji 1 projektu;</w:t>
            </w:r>
          </w:p>
          <w:p w:rsidR="005F2AE6" w:rsidRPr="00431567" w:rsidRDefault="005F2AE6" w:rsidP="008D6F62">
            <w:pPr>
              <w:pStyle w:val="Tekstpodstawowy"/>
              <w:rPr>
                <w:rFonts w:asciiTheme="minorHAnsi" w:hAnsiTheme="minorHAnsi" w:cstheme="minorHAnsi"/>
              </w:rPr>
            </w:pPr>
            <w:r w:rsidRPr="00431567">
              <w:rPr>
                <w:rFonts w:asciiTheme="minorHAnsi" w:hAnsiTheme="minorHAnsi" w:cstheme="minorHAnsi"/>
                <w:b/>
                <w:bCs/>
              </w:rPr>
              <w:t>0 pkt -</w:t>
            </w:r>
            <w:r w:rsidRPr="00431567">
              <w:rPr>
                <w:rFonts w:asciiTheme="minorHAnsi" w:hAnsiTheme="minorHAnsi" w:cstheme="minorHAnsi"/>
              </w:rPr>
              <w:t xml:space="preserve"> jeżeli wnioskodawca nie spełnia powyższego kryterium.</w:t>
            </w: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3183"/>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000000" w:themeColor="text1"/>
                <w:lang w:eastAsia="zh-CN"/>
              </w:rPr>
            </w:pPr>
            <w:r w:rsidRPr="003455CF">
              <w:rPr>
                <w:rFonts w:eastAsia="Times New Roman" w:cstheme="minorHAnsi"/>
                <w:color w:val="000000" w:themeColor="text1"/>
                <w:lang w:eastAsia="zh-CN"/>
              </w:rPr>
              <w:lastRenderedPageBreak/>
              <w:t>3.</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0"/>
              <w:rPr>
                <w:rFonts w:eastAsia="Times New Roman" w:cstheme="minorHAnsi"/>
                <w:color w:val="000000" w:themeColor="text1"/>
                <w:lang w:eastAsia="zh-CN"/>
              </w:rPr>
            </w:pPr>
            <w:r w:rsidRPr="003455CF">
              <w:rPr>
                <w:rFonts w:eastAsia="Times New Roman" w:cstheme="minorHAnsi"/>
                <w:color w:val="000000" w:themeColor="text1"/>
                <w:lang w:eastAsia="zh-CN"/>
              </w:rPr>
              <w:t>Innowacyjność w tym rozwiązania dotyczące cyfryzacji</w:t>
            </w: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Oceniana jest innowacyjność w kontekście lokalnym tj. w odniesieniu do obszaru LGD „Siła w Grupie”.</w:t>
            </w:r>
          </w:p>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 xml:space="preserve">Dokonując oceny operacji Rada LGD „Siła w Grupie” będzie się kierować przy ocenie innowacyjności jej stopniem oryginalności: </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Kreatywne -  powstają w wyniku autorskiego pomysłu, dotyczą nowych produktów, usług, procesów lub organizacji,</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Imitujące -  wzorowane na wcześniej powstałych produktach, usługach, procesach lub organizacji. Dotyczące nowego sposobu wykorzystania lub zmobilizowania istniejących lokalnych zasobów przyrodniczych, historycznych, kulturowych czy społecznych.</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Pozorne - w rzeczywistości nie są to innowacje w skali LSR. Są to jedynie drobne zmiany oferujące rzekome nowości.</w:t>
            </w:r>
          </w:p>
        </w:tc>
        <w:tc>
          <w:tcPr>
            <w:tcW w:w="3686"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pacing w:after="0"/>
              <w:jc w:val="both"/>
              <w:rPr>
                <w:rFonts w:cstheme="minorHAnsi"/>
                <w:color w:val="000000" w:themeColor="text1"/>
              </w:rPr>
            </w:pPr>
            <w:r w:rsidRPr="003455CF">
              <w:rPr>
                <w:rFonts w:cstheme="minorHAnsi"/>
                <w:color w:val="000000" w:themeColor="text1"/>
              </w:rPr>
              <w:t xml:space="preserve">W celu otrzymania punktów w ramach niniejszego kryterium Wnioskodawca ma za zadanie wskazać oraz uzasadnić we wniosku o przyznanie pomocy i w uzasadnieniu zgodności z kryteriami wyboru operacji innowacyjność w odniesieniu do swojej operacji.  </w:t>
            </w:r>
          </w:p>
          <w:p w:rsidR="005F2AE6" w:rsidRPr="003455CF" w:rsidRDefault="005F2AE6" w:rsidP="008D6F62">
            <w:pPr>
              <w:spacing w:after="0"/>
              <w:jc w:val="both"/>
              <w:rPr>
                <w:rFonts w:cstheme="minorHAnsi"/>
                <w:color w:val="000000" w:themeColor="text1"/>
              </w:rPr>
            </w:pPr>
            <w:r w:rsidRPr="003455CF">
              <w:rPr>
                <w:rFonts w:cstheme="minorHAnsi"/>
                <w:color w:val="000000" w:themeColor="text1"/>
              </w:rPr>
              <w:t>Punkty nie są przyznawane za pozorny stopień oryginalności.</w:t>
            </w:r>
          </w:p>
          <w:p w:rsidR="005F2AE6" w:rsidRPr="003455CF" w:rsidRDefault="005F2AE6" w:rsidP="008D6F62">
            <w:pPr>
              <w:spacing w:after="0"/>
              <w:jc w:val="both"/>
              <w:rPr>
                <w:rFonts w:eastAsia="Times New Roman" w:cstheme="minorHAnsi"/>
                <w:color w:val="000000" w:themeColor="text1"/>
                <w:lang w:eastAsia="zh-CN"/>
              </w:rPr>
            </w:pPr>
          </w:p>
        </w:tc>
        <w:tc>
          <w:tcPr>
            <w:tcW w:w="2835" w:type="dxa"/>
            <w:tcBorders>
              <w:top w:val="nil"/>
              <w:left w:val="nil"/>
              <w:bottom w:val="single" w:sz="4" w:space="0" w:color="auto"/>
              <w:right w:val="single" w:sz="8" w:space="0" w:color="000000"/>
            </w:tcBorders>
          </w:tcPr>
          <w:p w:rsidR="005F2AE6" w:rsidRPr="003455CF"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10 pkt</w:t>
            </w:r>
            <w:r w:rsidRPr="003455CF">
              <w:rPr>
                <w:rFonts w:eastAsia="Times New Roman" w:cstheme="minorHAnsi"/>
                <w:color w:val="000000" w:themeColor="text1"/>
                <w:lang w:eastAsia="zh-CN"/>
              </w:rPr>
              <w:t xml:space="preserve"> – projekt zakłada realizację działań o charakterze innowacyjnym w stopniu kreatywnym; </w:t>
            </w:r>
          </w:p>
          <w:p w:rsidR="005F2AE6" w:rsidRPr="003455CF"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5 pkt</w:t>
            </w:r>
            <w:r w:rsidRPr="003455CF">
              <w:rPr>
                <w:rFonts w:eastAsia="Times New Roman" w:cstheme="minorHAnsi"/>
                <w:color w:val="000000" w:themeColor="text1"/>
                <w:lang w:eastAsia="zh-CN"/>
              </w:rPr>
              <w:t xml:space="preserve"> – projekt zakłada realizację działań o charakterze innowacyjnym w stopniu imitującym;</w:t>
            </w:r>
          </w:p>
          <w:p w:rsidR="005F2AE6"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0 pkt</w:t>
            </w:r>
            <w:r w:rsidRPr="003455CF">
              <w:rPr>
                <w:rFonts w:eastAsia="Times New Roman" w:cstheme="minorHAnsi"/>
                <w:color w:val="000000" w:themeColor="text1"/>
                <w:lang w:eastAsia="zh-CN"/>
              </w:rPr>
              <w:t xml:space="preserve"> – projekt nie zakłada realizacji działań o charakterze innowacyjnym lub zakłada innowację pozorną.</w:t>
            </w:r>
          </w:p>
          <w:p w:rsidR="005F2AE6" w:rsidRDefault="005F2AE6" w:rsidP="008D6F62">
            <w:pPr>
              <w:spacing w:after="120"/>
              <w:rPr>
                <w:rFonts w:eastAsia="Times New Roman" w:cstheme="minorHAnsi"/>
                <w:color w:val="000000" w:themeColor="text1"/>
                <w:lang w:eastAsia="zh-CN"/>
              </w:rPr>
            </w:pPr>
            <w:r w:rsidRPr="002F215D">
              <w:rPr>
                <w:rFonts w:eastAsia="Times New Roman" w:cstheme="minorHAnsi"/>
                <w:b/>
                <w:bCs/>
                <w:lang w:eastAsia="zh-CN"/>
              </w:rPr>
              <w:t>Maksymalna liczba punktów: 10</w:t>
            </w:r>
          </w:p>
          <w:p w:rsidR="005F2AE6" w:rsidRPr="003455CF" w:rsidRDefault="005F2AE6" w:rsidP="008D6F62">
            <w:pPr>
              <w:spacing w:after="120"/>
              <w:rPr>
                <w:rFonts w:eastAsia="Times New Roman" w:cstheme="minorHAnsi"/>
                <w:color w:val="000000" w:themeColor="text1"/>
                <w:lang w:eastAsia="zh-CN"/>
              </w:rPr>
            </w:pPr>
          </w:p>
          <w:p w:rsidR="005F2AE6" w:rsidRPr="003455CF" w:rsidRDefault="005F2AE6" w:rsidP="008D6F62">
            <w:pPr>
              <w:spacing w:after="120"/>
              <w:rPr>
                <w:rFonts w:eastAsia="Times New Roman" w:cstheme="minorHAnsi"/>
                <w:color w:val="000000" w:themeColor="text1"/>
                <w:lang w:eastAsia="zh-CN"/>
              </w:rPr>
            </w:pPr>
          </w:p>
        </w:tc>
        <w:tc>
          <w:tcPr>
            <w:tcW w:w="1559" w:type="dxa"/>
            <w:tcBorders>
              <w:top w:val="nil"/>
              <w:left w:val="nil"/>
              <w:bottom w:val="single" w:sz="4" w:space="0" w:color="auto"/>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r>
              <w:rPr>
                <w:rFonts w:eastAsia="Times New Roman" w:cstheme="minorHAnsi"/>
                <w:lang w:eastAsia="zh-CN"/>
              </w:rPr>
              <w:t>2</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3155"/>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4.</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000000" w:themeColor="text1"/>
                <w:lang w:eastAsia="zh-CN"/>
              </w:rPr>
            </w:pPr>
            <w:r w:rsidRPr="0024635D">
              <w:rPr>
                <w:rFonts w:eastAsia="Times New Roman" w:cstheme="minorHAnsi"/>
                <w:color w:val="000000" w:themeColor="text1"/>
                <w:lang w:eastAsia="zh-CN"/>
              </w:rPr>
              <w:t>Zastosowanie rozwiązań sprzyjających ochronie środowiska i przeciwdziałanie zmian klimatycznym oraz realizacja założeń inicjatywy NEB</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W ramach kryterium ocenia się, czy operacja planowana do realizacji przez Wnioskodawcę uwzględnia rozwiązania, które sprzyjają ochronie środowiska i przeciwdziałanie zmianom klimatu, w szczególności poprzez:</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wykorzystanie odnawialnych źródeł energii: instalacje odnawialnych źródeł energii, takich jak elektrownie słoneczne, wiatrowe lub wodne, instalacja pomp ciepła, magazynów energii, inteligentnych systemów zarządzania energią itp. w celu zmniejszenia zależności od paliw kopalnych i redukcji emisji gazów cieplarnianych;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zmniejszenie ilości odpadów i utylizacji oraz efektywne wykorzystanie zasobów np. recykling istniejących materiałów i produktów, zastosowanie technologii dot. przetwarzania odpadów w celu ograniczenia ilości odpadów trafiających na składowiska.</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promowanie mobilności zrównoważonej i inwestowanie w infrastrukturę dot. alternatywnych środków transportu, aby zmniejszyć emisję gazów cieplarnianych i zanieczyszczenie środowiska np. montaż stojaków rowerowych czy stacji naprawy roweru.</w:t>
            </w:r>
          </w:p>
          <w:p w:rsidR="005F2AE6" w:rsidRPr="0089751B" w:rsidRDefault="005F2AE6" w:rsidP="008D6F62">
            <w:pPr>
              <w:suppressAutoHyphens/>
              <w:spacing w:after="120"/>
              <w:jc w:val="both"/>
              <w:rPr>
                <w:rFonts w:eastAsia="Arial" w:cstheme="minorHAnsi"/>
                <w:strike/>
                <w:color w:val="000000" w:themeColor="text1"/>
                <w:lang w:eastAsia="zh-CN"/>
              </w:rPr>
            </w:pPr>
            <w:r w:rsidRPr="0089751B">
              <w:rPr>
                <w:rFonts w:eastAsia="Arial" w:cstheme="minorHAnsi"/>
                <w:color w:val="000000" w:themeColor="text1"/>
                <w:lang w:eastAsia="zh-CN"/>
              </w:rPr>
              <w:t xml:space="preserve">- błękitno – zielona infrastruktura i zielone budownictwo tj. projektowanie i budowa infrastruktury zgodnie z zasadami zrównoważonego budownictwa, rozwiązania technologiczne wykorzystując materiały ekologiczne, technologie energooszczędne oraz magazynowanie (retencja) wód </w:t>
            </w:r>
            <w:r w:rsidRPr="0089751B">
              <w:rPr>
                <w:rFonts w:eastAsia="Arial" w:cstheme="minorHAnsi"/>
                <w:color w:val="000000" w:themeColor="text1"/>
                <w:lang w:eastAsia="zh-CN"/>
              </w:rPr>
              <w:lastRenderedPageBreak/>
              <w:t>opadowych i roztopowych przez zieleń miejską np. ogrody deszczowe, zielone dach, zielone fasady i ściany,</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ochronę zasobów naturalnych tj. zachowanie naturalnych ekosystemów poprzez planowanie przestrzenne (np. terenów  zielonych) w celu zachowania bioróżnorodności, ochrony fauny i floty oraz naturalnych zasobów wodnych;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xml:space="preserve">Jednocześnie w ramach tego kryterium ocenie podlega, czy rozwiązania przewidywane w operacji uwzględniają zasady inicjatywy Nowy Europejski </w:t>
            </w:r>
            <w:proofErr w:type="spellStart"/>
            <w:r w:rsidRPr="0089751B">
              <w:rPr>
                <w:rFonts w:eastAsia="Arial" w:cstheme="minorHAnsi"/>
                <w:color w:val="000000" w:themeColor="text1"/>
                <w:lang w:eastAsia="zh-CN"/>
              </w:rPr>
              <w:t>Bauhaus</w:t>
            </w:r>
            <w:proofErr w:type="spellEnd"/>
            <w:r w:rsidRPr="0089751B">
              <w:rPr>
                <w:rFonts w:eastAsia="Arial" w:cstheme="minorHAnsi"/>
                <w:color w:val="000000" w:themeColor="text1"/>
                <w:lang w:eastAsia="zh-CN"/>
              </w:rPr>
              <w:t xml:space="preserve"> (z ang. New </w:t>
            </w:r>
            <w:proofErr w:type="spellStart"/>
            <w:r w:rsidRPr="0089751B">
              <w:rPr>
                <w:rFonts w:eastAsia="Arial" w:cstheme="minorHAnsi"/>
                <w:color w:val="000000" w:themeColor="text1"/>
                <w:lang w:eastAsia="zh-CN"/>
              </w:rPr>
              <w:t>European</w:t>
            </w:r>
            <w:proofErr w:type="spellEnd"/>
            <w:r w:rsidRPr="0089751B">
              <w:rPr>
                <w:rFonts w:eastAsia="Arial" w:cstheme="minorHAnsi"/>
                <w:color w:val="000000" w:themeColor="text1"/>
                <w:lang w:eastAsia="zh-CN"/>
              </w:rPr>
              <w:t xml:space="preserve"> </w:t>
            </w:r>
            <w:proofErr w:type="spellStart"/>
            <w:r w:rsidRPr="0089751B">
              <w:rPr>
                <w:rFonts w:eastAsia="Arial" w:cstheme="minorHAnsi"/>
                <w:color w:val="000000" w:themeColor="text1"/>
                <w:lang w:eastAsia="zh-CN"/>
              </w:rPr>
              <w:t>Bauhaus</w:t>
            </w:r>
            <w:proofErr w:type="spellEnd"/>
            <w:r w:rsidRPr="0089751B">
              <w:rPr>
                <w:rFonts w:eastAsia="Arial" w:cstheme="minorHAnsi"/>
                <w:color w:val="000000" w:themeColor="text1"/>
                <w:lang w:eastAsia="zh-CN"/>
              </w:rPr>
              <w:t>, NEB) łącząc podejście zrównoważone (ekologiczne), estetyczne i społeczne.</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Aby otrzymać punkty, projekty ubiegające się o dofinansowanie muszą wpisywać się</w:t>
            </w:r>
            <w:r w:rsidRPr="0089751B">
              <w:rPr>
                <w:rFonts w:cstheme="minorHAnsi"/>
                <w:color w:val="000000" w:themeColor="text1"/>
              </w:rPr>
              <w:t xml:space="preserve"> </w:t>
            </w:r>
            <w:r w:rsidRPr="0089751B">
              <w:rPr>
                <w:rFonts w:eastAsia="Arial" w:cstheme="minorHAnsi"/>
                <w:color w:val="000000" w:themeColor="text1"/>
                <w:lang w:eastAsia="zh-CN"/>
              </w:rPr>
              <w:t xml:space="preserve">w trzy podstawowe wartości inicjatywy NEB: </w:t>
            </w:r>
          </w:p>
          <w:p w:rsidR="005F2AE6" w:rsidRPr="0089751B" w:rsidRDefault="005F2AE6" w:rsidP="008D6F62">
            <w:pPr>
              <w:suppressAutoHyphens/>
              <w:spacing w:after="120"/>
              <w:jc w:val="both"/>
              <w:rPr>
                <w:rFonts w:eastAsia="Arial" w:cstheme="minorHAnsi"/>
                <w:color w:val="000000" w:themeColor="text1"/>
                <w:lang w:eastAsia="zh-CN"/>
              </w:rPr>
            </w:pPr>
            <w:proofErr w:type="spellStart"/>
            <w:r w:rsidRPr="0089751B">
              <w:rPr>
                <w:rFonts w:eastAsia="Arial" w:cstheme="minorHAnsi"/>
                <w:color w:val="000000" w:themeColor="text1"/>
                <w:lang w:eastAsia="zh-CN"/>
              </w:rPr>
              <w:t>Zrównoważoność</w:t>
            </w:r>
            <w:proofErr w:type="spellEnd"/>
            <w:r w:rsidRPr="0089751B">
              <w:rPr>
                <w:rFonts w:eastAsia="Arial" w:cstheme="minorHAnsi"/>
                <w:color w:val="000000" w:themeColor="text1"/>
                <w:lang w:eastAsia="zh-CN"/>
              </w:rPr>
              <w:t xml:space="preserve"> – działania na rzecz ochrony środowiska, efektywnego gospodarowania zasobami, klimatycznej neutralności i bioróżnorodności, balans środowiskowy, w tym m.in. wkomponowanie elementów przyrody w tkankę miejską, wdrażanie rozwiązań inspirowanych naturą,</w:t>
            </w:r>
            <w:r w:rsidRPr="0089751B">
              <w:rPr>
                <w:rFonts w:cstheme="minorHAnsi"/>
                <w:color w:val="000000" w:themeColor="text1"/>
              </w:rPr>
              <w:t xml:space="preserve"> </w:t>
            </w:r>
            <w:r w:rsidRPr="0089751B">
              <w:rPr>
                <w:rFonts w:eastAsia="Arial" w:cstheme="minorHAnsi"/>
                <w:color w:val="000000" w:themeColor="text1"/>
                <w:lang w:eastAsia="zh-CN"/>
              </w:rPr>
              <w:t>wykorzystanie ekologicznego design.</w:t>
            </w:r>
            <w:r w:rsidRPr="0089751B">
              <w:rPr>
                <w:rFonts w:cstheme="minorHAnsi"/>
                <w:color w:val="000000" w:themeColor="text1"/>
              </w:rPr>
              <w:t xml:space="preserve"> </w:t>
            </w:r>
            <w:r w:rsidRPr="0089751B">
              <w:rPr>
                <w:rFonts w:eastAsia="Arial" w:cstheme="minorHAnsi"/>
                <w:color w:val="000000" w:themeColor="text1"/>
                <w:lang w:eastAsia="zh-CN"/>
              </w:rPr>
              <w:t xml:space="preserve">Projekty powinny dążyć do ograniczenia wykorzystania zasobów naturalnych, zanieczyszczenia środowiska i wpływu działalności człowieka na środowisko oraz do ponownego połączenia ludzi z przyrodą poprzez wybory co do lokalizacji realizacji projektu, </w:t>
            </w:r>
            <w:r w:rsidRPr="0089751B">
              <w:rPr>
                <w:rFonts w:eastAsia="Arial" w:cstheme="minorHAnsi"/>
                <w:color w:val="000000" w:themeColor="text1"/>
                <w:lang w:eastAsia="zh-CN"/>
              </w:rPr>
              <w:lastRenderedPageBreak/>
              <w:t>czy wykorzystanych materiałów i rozwiązań energetycznych;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Estetyka i jakość przestrzeni – uwzględnianie poza funkcjonalnością również atrakcyjności architektonicznej: harmonię, dbałość o jakość i styl przestrzeni, jakość wizualną, dostosowanie do ogólnego kontekstu przestrzennego i stylu architektonicznego, innowacyjne formy, przyjazność dla użytkownika, integrację z otoczeniem, projektowanie w kontekście lokalnym, wykorzystanie dziedzictwa kulturowego (sztuki, lokalnego rzemiosła itp.)</w:t>
            </w:r>
            <w:r w:rsidRPr="0089751B">
              <w:rPr>
                <w:rFonts w:cstheme="minorHAnsi"/>
                <w:color w:val="000000" w:themeColor="text1"/>
              </w:rPr>
              <w:t xml:space="preserve">, </w:t>
            </w:r>
            <w:r w:rsidRPr="0089751B">
              <w:rPr>
                <w:rFonts w:eastAsia="Arial" w:cstheme="minorHAnsi"/>
                <w:color w:val="000000" w:themeColor="text1"/>
                <w:lang w:eastAsia="zh-CN"/>
              </w:rPr>
              <w:t>uwzględnienie lokalnej tożsamości;</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Integracja społeczna – tworzenie przestrzeni włączających i otwartych społecznie, infrastruktura promująca włączenie społeczne, projektowanie dla wszystkich, promowanie równości, zwalczanie segregacji przestrzennej,</w:t>
            </w:r>
            <w:r w:rsidRPr="0089751B">
              <w:rPr>
                <w:rFonts w:cstheme="minorHAnsi"/>
                <w:color w:val="000000" w:themeColor="text1"/>
              </w:rPr>
              <w:t xml:space="preserve"> </w:t>
            </w:r>
            <w:r w:rsidRPr="0089751B">
              <w:rPr>
                <w:rFonts w:eastAsia="Arial" w:cstheme="minorHAnsi"/>
                <w:color w:val="000000" w:themeColor="text1"/>
                <w:lang w:eastAsia="zh-CN"/>
              </w:rPr>
              <w:t>nadanie priorytetu miejscom i osobom, które tego najbardziej potrzebują.</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xml:space="preserve">Cel kryterium jest promowanie projektów, które w sposób całościowy i nowatorski przyczyniają się do budowy zrównoważonych, estetycznych i </w:t>
            </w:r>
            <w:proofErr w:type="spellStart"/>
            <w:r w:rsidRPr="0089751B">
              <w:rPr>
                <w:rFonts w:eastAsia="Arial" w:cstheme="minorHAnsi"/>
                <w:color w:val="000000" w:themeColor="text1"/>
                <w:lang w:eastAsia="zh-CN"/>
              </w:rPr>
              <w:t>inkluzywnych</w:t>
            </w:r>
            <w:proofErr w:type="spellEnd"/>
            <w:r w:rsidRPr="0089751B">
              <w:rPr>
                <w:rFonts w:eastAsia="Arial" w:cstheme="minorHAnsi"/>
                <w:color w:val="000000" w:themeColor="text1"/>
                <w:lang w:eastAsia="zh-CN"/>
              </w:rPr>
              <w:t xml:space="preserve"> przestrzeni zgodnie z wartościami Nowego Europejskiego </w:t>
            </w:r>
            <w:proofErr w:type="spellStart"/>
            <w:r w:rsidRPr="0089751B">
              <w:rPr>
                <w:rFonts w:eastAsia="Arial" w:cstheme="minorHAnsi"/>
                <w:color w:val="000000" w:themeColor="text1"/>
                <w:lang w:eastAsia="zh-CN"/>
              </w:rPr>
              <w:t>Bauhausu</w:t>
            </w:r>
            <w:proofErr w:type="spellEnd"/>
            <w:r w:rsidRPr="0089751B">
              <w:rPr>
                <w:rFonts w:eastAsia="Arial" w:cstheme="minorHAnsi"/>
                <w:color w:val="000000" w:themeColor="text1"/>
                <w:lang w:eastAsia="zh-CN"/>
              </w:rPr>
              <w:t xml:space="preserve">. </w:t>
            </w: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jc w:val="both"/>
              <w:rPr>
                <w:rFonts w:cstheme="minorHAnsi"/>
                <w:color w:val="000000" w:themeColor="text1"/>
              </w:rPr>
            </w:pPr>
            <w:r w:rsidRPr="0089751B">
              <w:rPr>
                <w:rFonts w:cstheme="minorHAnsi"/>
                <w:color w:val="000000" w:themeColor="text1"/>
              </w:rPr>
              <w:lastRenderedPageBreak/>
              <w:t>W celu zachowania elastyczności kryterium oraz równych szans w dostępie do środków, LGD nie zamyka listy możliwych do realizacji inwestycji. Zadaniem wnioskodawcy jest wskazać w jaki sposób realizacja projektu/inwestycja przyczynia do ochrony środowiska i przeciwdziałania zmianom klimatu  oraz realizacji założeń inicjatywy NEB.</w:t>
            </w:r>
          </w:p>
          <w:p w:rsidR="005F2AE6" w:rsidRPr="0089751B" w:rsidRDefault="005F2AE6" w:rsidP="008D6F62">
            <w:pPr>
              <w:jc w:val="both"/>
              <w:rPr>
                <w:rFonts w:cstheme="minorHAnsi"/>
                <w:color w:val="000000" w:themeColor="text1"/>
              </w:rPr>
            </w:pPr>
            <w:r w:rsidRPr="0089751B">
              <w:rPr>
                <w:rFonts w:cstheme="minorHAnsi"/>
                <w:color w:val="000000" w:themeColor="text1"/>
              </w:rPr>
              <w:t>Zastosowane rozwiązania powinny  być racjonalne i  uzasadnione zakresem operacji. Koszt związany z wprowadzeniem ww. rozwiązań został uwzględniony w zestawieniu rzeczowo - finansowym operacji. Przy czym należy mieć na uwadze, że w przypadku operacji, która obejmuje koszty zakupu i instalacji odnawialnych źródeł energii, suma planowanych do poniesienia kosztów dotyczących odnawialnych źródeł energii nie może przekraczać połowy wszystkich kosztów kwalifikowalnych</w:t>
            </w:r>
          </w:p>
          <w:p w:rsidR="005F2AE6" w:rsidRPr="0089751B" w:rsidRDefault="005F2AE6" w:rsidP="008D6F62">
            <w:pPr>
              <w:jc w:val="both"/>
              <w:rPr>
                <w:rFonts w:cstheme="minorHAnsi"/>
                <w:color w:val="000000" w:themeColor="text1"/>
              </w:rPr>
            </w:pPr>
            <w:r w:rsidRPr="0089751B">
              <w:rPr>
                <w:rFonts w:cstheme="minorHAnsi"/>
                <w:color w:val="000000" w:themeColor="text1"/>
              </w:rPr>
              <w:t xml:space="preserve">Nie będą punktowane działania </w:t>
            </w:r>
            <w:r w:rsidRPr="0089751B">
              <w:rPr>
                <w:rFonts w:cstheme="minorHAnsi"/>
                <w:color w:val="000000" w:themeColor="text1"/>
              </w:rPr>
              <w:lastRenderedPageBreak/>
              <w:t>pozorne, mające marginalny wpływ na ochronę środowiska i przeciwdziałanie zmianom klimatu oraz realizację założeń inicjatywy NEB w relacji do zakresu projektu.</w:t>
            </w:r>
          </w:p>
          <w:p w:rsidR="005F2AE6" w:rsidRPr="0089751B" w:rsidRDefault="005F2AE6" w:rsidP="008D6F62">
            <w:pPr>
              <w:jc w:val="both"/>
              <w:rPr>
                <w:rFonts w:eastAsia="Times New Roman" w:cstheme="minorHAnsi"/>
                <w:color w:val="000000" w:themeColor="text1"/>
                <w:lang w:eastAsia="zh-CN"/>
              </w:rPr>
            </w:pPr>
            <w:r w:rsidRPr="0089751B">
              <w:rPr>
                <w:rFonts w:cstheme="minorHAnsi"/>
                <w:color w:val="000000" w:themeColor="text1"/>
              </w:rPr>
              <w:t xml:space="preserve">Kryterium weryfikowane w oparciu o informacje zawarte w opisie operacji, zestawieniu rzeczowo – finansowym, uzasadnieniu zgodności z kryteriami wyboru operacji oraz załączone dokumenty. </w:t>
            </w:r>
          </w:p>
        </w:tc>
        <w:tc>
          <w:tcPr>
            <w:tcW w:w="2835" w:type="dxa"/>
            <w:tcBorders>
              <w:top w:val="single" w:sz="4" w:space="0" w:color="auto"/>
              <w:left w:val="nil"/>
              <w:bottom w:val="single" w:sz="4" w:space="0" w:color="auto"/>
              <w:right w:val="single" w:sz="8" w:space="0" w:color="000000"/>
            </w:tcBorders>
          </w:tcPr>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lastRenderedPageBreak/>
              <w:t xml:space="preserve">10 pkt - </w:t>
            </w:r>
            <w:r w:rsidRPr="0089751B">
              <w:rPr>
                <w:rFonts w:eastAsia="Times New Roman" w:cstheme="minorHAnsi"/>
                <w:color w:val="000000" w:themeColor="text1"/>
                <w:lang w:eastAsia="zh-CN"/>
              </w:rPr>
              <w:t>operacja zakłada rozwiązania wpisujące się w trzy filary inicjatywy NEB tj. wykazuje rozwiązania uwzględniające aspekt środowiskowy, estetyczny i społeczny;</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t>5 pkt</w:t>
            </w:r>
            <w:r w:rsidRPr="0089751B">
              <w:rPr>
                <w:rFonts w:eastAsia="Times New Roman" w:cstheme="minorHAnsi"/>
                <w:color w:val="000000" w:themeColor="text1"/>
                <w:lang w:eastAsia="zh-CN"/>
              </w:rPr>
              <w:t xml:space="preserve"> –  operacja zakłada rozwiązania sprzyjające ochronie środowiska i przeciwdziałanie zmianom klimatu;</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t>0 pkt</w:t>
            </w:r>
            <w:r w:rsidRPr="0089751B">
              <w:rPr>
                <w:rFonts w:eastAsia="Times New Roman" w:cstheme="minorHAnsi"/>
                <w:color w:val="000000" w:themeColor="text1"/>
                <w:lang w:eastAsia="zh-CN"/>
              </w:rPr>
              <w:t xml:space="preserve"> –  operacja nie zakłada rozwiązań wpisujących się w inicjatywę NEB i nie zakłada rozwiązań sprzyjających ochronie środowiska i przeciwdziałanie zmianom klimatu.</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25"/>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7030A0"/>
                <w:lang w:eastAsia="zh-CN"/>
              </w:rPr>
            </w:pPr>
            <w:r w:rsidRPr="003455CF">
              <w:rPr>
                <w:rFonts w:eastAsia="Times New Roman" w:cstheme="minorHAnsi"/>
                <w:color w:val="7030A0"/>
                <w:lang w:eastAsia="zh-CN"/>
              </w:rPr>
              <w:lastRenderedPageBreak/>
              <w:t>5.</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0"/>
              <w:jc w:val="both"/>
              <w:rPr>
                <w:rFonts w:eastAsia="Times New Roman" w:cstheme="minorHAnsi"/>
                <w:color w:val="000000" w:themeColor="text1"/>
                <w:lang w:eastAsia="zh-CN"/>
              </w:rPr>
            </w:pPr>
            <w:r w:rsidRPr="0089751B">
              <w:rPr>
                <w:rFonts w:eastAsia="Times New Roman" w:cstheme="minorHAnsi"/>
                <w:color w:val="000000" w:themeColor="text1"/>
                <w:lang w:eastAsia="zh-CN"/>
              </w:rPr>
              <w:t xml:space="preserve">Oferta dedykowana seniorom i/lub </w:t>
            </w:r>
            <w:r w:rsidRPr="0089751B">
              <w:rPr>
                <w:rFonts w:eastAsia="Times New Roman" w:cstheme="minorHAnsi"/>
                <w:color w:val="000000" w:themeColor="text1"/>
                <w:lang w:eastAsia="zh-CN"/>
              </w:rPr>
              <w:lastRenderedPageBreak/>
              <w:t>ludziom młodym i/lub osobom w niekorzystnej sytuacji</w:t>
            </w:r>
          </w:p>
          <w:p w:rsidR="005F2AE6" w:rsidRPr="003455CF" w:rsidRDefault="005F2AE6" w:rsidP="008D6F62">
            <w:pPr>
              <w:suppressAutoHyphens/>
              <w:spacing w:after="120"/>
              <w:jc w:val="both"/>
              <w:rPr>
                <w:rFonts w:eastAsia="Times New Roman" w:cstheme="minorHAnsi"/>
                <w:color w:val="000000" w:themeColor="text1"/>
                <w:highlight w:val="yellow"/>
                <w:lang w:eastAsia="zh-CN"/>
              </w:rPr>
            </w:pP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lastRenderedPageBreak/>
              <w:t xml:space="preserve">Mając na uwadze rolę LGD we wzmacnianiu włączenia społecznego (inkluzji społecznej)  priorytetowo dofinansowanie ze środków LSR otrzymają Wnioskodawcy, którzy w ramach działalności gospodarczej objętej </w:t>
            </w:r>
            <w:r w:rsidRPr="0089751B">
              <w:rPr>
                <w:rFonts w:eastAsia="Times New Roman" w:cstheme="minorHAnsi"/>
                <w:color w:val="000000" w:themeColor="text1"/>
                <w:lang w:eastAsia="zh-CN"/>
              </w:rPr>
              <w:lastRenderedPageBreak/>
              <w:t xml:space="preserve">wsparciem ze środków LSR będą prowadzić ofertę (produkty, towary, usługi uwzględnione w biznesplanie) co najmniej jednej z grup kluczowych wymienionych w LSR. </w:t>
            </w:r>
          </w:p>
          <w:p w:rsidR="005F2AE6" w:rsidRPr="0089751B" w:rsidRDefault="005F2AE6" w:rsidP="008D6F62">
            <w:pPr>
              <w:jc w:val="both"/>
              <w:rPr>
                <w:rFonts w:cstheme="minorHAnsi"/>
                <w:color w:val="000000" w:themeColor="text1"/>
              </w:rPr>
            </w:pPr>
            <w:r w:rsidRPr="0089751B">
              <w:rPr>
                <w:rFonts w:eastAsia="Times New Roman" w:cstheme="minorHAnsi"/>
                <w:color w:val="000000" w:themeColor="text1"/>
                <w:lang w:eastAsia="zh-CN"/>
              </w:rPr>
              <w:t xml:space="preserve">Na podstawie analizy ludności zamieszkującej obszar lokalnej strategii rozwoju LGD „Siła w Grupie” określiło następujące grupy wymagające wsparcia i włączenia społecznego: </w:t>
            </w:r>
            <w:r w:rsidRPr="0089751B">
              <w:rPr>
                <w:rFonts w:cstheme="minorHAnsi"/>
                <w:color w:val="000000" w:themeColor="text1"/>
              </w:rPr>
              <w:t>seniorzy 60+, osoby młode do 25 r. ż.,  osoby w niekorzystnej sytuacji, w tym osoby z niepełnosprawnościami i ich opiekunowie lub osoby poszukujące zatrudnienia.</w:t>
            </w:r>
          </w:p>
          <w:p w:rsidR="005F2AE6" w:rsidRPr="0089751B" w:rsidRDefault="005F2AE6" w:rsidP="008D6F62">
            <w:pPr>
              <w:suppressAutoHyphens/>
              <w:spacing w:after="120"/>
              <w:jc w:val="both"/>
              <w:rPr>
                <w:rFonts w:eastAsia="Times New Roman" w:cstheme="minorHAnsi"/>
                <w:color w:val="000000" w:themeColor="text1"/>
                <w:lang w:eastAsia="zh-CN"/>
              </w:rPr>
            </w:pPr>
          </w:p>
          <w:p w:rsidR="005F2AE6" w:rsidRPr="0089751B" w:rsidRDefault="005F2AE6" w:rsidP="008D6F62">
            <w:pPr>
              <w:suppressAutoHyphens/>
              <w:spacing w:after="120"/>
              <w:jc w:val="both"/>
              <w:rPr>
                <w:rFonts w:eastAsia="Times New Roman" w:cstheme="minorHAnsi"/>
                <w:color w:val="000000" w:themeColor="text1"/>
                <w:lang w:eastAsia="zh-CN"/>
              </w:rPr>
            </w:pPr>
          </w:p>
        </w:tc>
        <w:tc>
          <w:tcPr>
            <w:tcW w:w="3686" w:type="dxa"/>
            <w:tcBorders>
              <w:top w:val="nil"/>
              <w:left w:val="nil"/>
              <w:bottom w:val="single" w:sz="4" w:space="0" w:color="auto"/>
              <w:right w:val="single" w:sz="4" w:space="0" w:color="auto"/>
            </w:tcBorders>
            <w:tcMar>
              <w:top w:w="100" w:type="dxa"/>
              <w:left w:w="100" w:type="dxa"/>
              <w:bottom w:w="100" w:type="dxa"/>
              <w:right w:w="100" w:type="dxa"/>
            </w:tcMar>
          </w:tcPr>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lastRenderedPageBreak/>
              <w:t xml:space="preserve">Punkty uzyska wnioskodawca, który we wniosku o wsparcie wykaże, że w ramach prowadzonej działalności świadczyć będzie usługi, które realnie </w:t>
            </w:r>
            <w:r w:rsidRPr="0089751B">
              <w:rPr>
                <w:rFonts w:eastAsia="Times New Roman" w:cstheme="minorHAnsi"/>
                <w:color w:val="000000" w:themeColor="text1"/>
                <w:lang w:eastAsia="zh-CN"/>
              </w:rPr>
              <w:lastRenderedPageBreak/>
              <w:t xml:space="preserve">odpowiadają na potrzeby wybranej grupy w niekorzystnej sytuacji jako klientów. Zatem Wnioskodawca, musi zidentyfikować specyficzne/kluczowe potrzeby wybranej grupy docelowej, wykazać się znajomością i zrozumieniem preferencji, zachowań konsumenckich i motywacji wybranej grupy oraz w ramach prowadzonej działalności stworzyć dostosowane do jej oczekiwań rozwiązania (np. spersonalizowane produkty i usługi, standard obsługi, udogodnienia, dostępność, strategię marketingową). </w:t>
            </w:r>
          </w:p>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t>We wniosku o wsparcie wnioskodawca jest zobowiązany podać informacje niezbędne do oceny, czy i w jaki sposób kryterium zostało spełnione. Weryfikacja nastąpi w oparciu o treść wniosku o wsparcie, w szczególności w części dotyczącej biznesplanu.</w:t>
            </w:r>
          </w:p>
        </w:tc>
        <w:tc>
          <w:tcPr>
            <w:tcW w:w="2835" w:type="dxa"/>
            <w:tcBorders>
              <w:top w:val="single" w:sz="4" w:space="0" w:color="auto"/>
              <w:left w:val="single" w:sz="4" w:space="0" w:color="auto"/>
              <w:bottom w:val="single" w:sz="4" w:space="0" w:color="auto"/>
              <w:right w:val="single" w:sz="4" w:space="0" w:color="auto"/>
            </w:tcBorders>
          </w:tcPr>
          <w:p w:rsidR="005F2AE6" w:rsidRPr="0089751B" w:rsidRDefault="005F2AE6" w:rsidP="008D6F62">
            <w:pPr>
              <w:rPr>
                <w:rFonts w:cstheme="minorHAnsi"/>
                <w:b/>
                <w:bCs/>
                <w:color w:val="000000" w:themeColor="text1"/>
              </w:rPr>
            </w:pPr>
            <w:r>
              <w:rPr>
                <w:rFonts w:cstheme="minorHAnsi"/>
                <w:b/>
                <w:bCs/>
                <w:color w:val="000000" w:themeColor="text1"/>
              </w:rPr>
              <w:lastRenderedPageBreak/>
              <w:t>10</w:t>
            </w:r>
            <w:r w:rsidRPr="0089751B">
              <w:rPr>
                <w:rFonts w:cstheme="minorHAnsi"/>
                <w:b/>
                <w:bCs/>
                <w:color w:val="000000" w:themeColor="text1"/>
              </w:rPr>
              <w:t xml:space="preserve"> pkt</w:t>
            </w:r>
            <w:r w:rsidRPr="0089751B">
              <w:rPr>
                <w:rFonts w:cstheme="minorHAnsi"/>
                <w:color w:val="000000" w:themeColor="text1"/>
              </w:rPr>
              <w:t xml:space="preserve"> – wnioskodawca będzie prowadził ofertę dedykowaną grupom w </w:t>
            </w:r>
            <w:r w:rsidRPr="0089751B">
              <w:rPr>
                <w:rFonts w:cstheme="minorHAnsi"/>
                <w:color w:val="000000" w:themeColor="text1"/>
              </w:rPr>
              <w:lastRenderedPageBreak/>
              <w:t>niekorzystnej sytuacji</w:t>
            </w:r>
            <w:r w:rsidRPr="0089751B">
              <w:rPr>
                <w:rFonts w:cstheme="minorHAnsi"/>
                <w:b/>
                <w:bCs/>
                <w:color w:val="000000" w:themeColor="text1"/>
              </w:rPr>
              <w:t xml:space="preserve"> </w:t>
            </w:r>
          </w:p>
          <w:p w:rsidR="005F2AE6" w:rsidRPr="0089751B" w:rsidRDefault="005F2AE6" w:rsidP="008D6F62">
            <w:pPr>
              <w:rPr>
                <w:rFonts w:cstheme="minorHAnsi"/>
                <w:b/>
                <w:bCs/>
                <w:color w:val="000000" w:themeColor="text1"/>
              </w:rPr>
            </w:pPr>
            <w:r w:rsidRPr="0089751B">
              <w:rPr>
                <w:rFonts w:cstheme="minorHAnsi"/>
                <w:b/>
                <w:bCs/>
                <w:color w:val="000000" w:themeColor="text1"/>
              </w:rPr>
              <w:t>0 pkt</w:t>
            </w:r>
            <w:r w:rsidRPr="0089751B">
              <w:rPr>
                <w:rFonts w:cstheme="minorHAnsi"/>
                <w:color w:val="000000" w:themeColor="text1"/>
              </w:rPr>
              <w:t xml:space="preserve"> – wnioskodawca nie przewidział oferty dedykowanej grupom w niekorzystnej sytuacji, nie wykazał spełnienia kryterium lub przedstawiona argumentacja jest niewystarczająca</w:t>
            </w:r>
          </w:p>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cstheme="minorHAnsi"/>
                <w:b/>
                <w:bCs/>
                <w:color w:val="000000" w:themeColor="text1"/>
              </w:rPr>
              <w:t>Maksymalna liczba punktów: 1</w:t>
            </w:r>
            <w:r>
              <w:rPr>
                <w:rFonts w:cstheme="minorHAnsi"/>
                <w:b/>
                <w:bCs/>
                <w:color w:val="000000" w:themeColor="text1"/>
              </w:rPr>
              <w:t>0</w:t>
            </w:r>
          </w:p>
        </w:tc>
        <w:tc>
          <w:tcPr>
            <w:tcW w:w="1559" w:type="dxa"/>
            <w:tcBorders>
              <w:top w:val="nil"/>
              <w:left w:val="single" w:sz="4" w:space="0" w:color="auto"/>
              <w:bottom w:val="single" w:sz="4" w:space="0" w:color="auto"/>
              <w:right w:val="single" w:sz="8" w:space="0" w:color="000000"/>
            </w:tcBorders>
          </w:tcPr>
          <w:p w:rsidR="005F2AE6" w:rsidRPr="003455CF" w:rsidRDefault="005F2AE6" w:rsidP="008D6F62">
            <w:pPr>
              <w:suppressAutoHyphens/>
              <w:spacing w:after="120"/>
              <w:jc w:val="both"/>
              <w:rPr>
                <w:rFonts w:eastAsia="Times New Roman" w:cstheme="minorHAnsi"/>
                <w:color w:val="000000" w:themeColor="text1"/>
                <w:highlight w:val="yellow"/>
                <w:lang w:eastAsia="zh-CN"/>
              </w:rPr>
            </w:pPr>
            <w:r w:rsidRPr="00330BA2">
              <w:rPr>
                <w:rFonts w:eastAsia="Times New Roman" w:cstheme="minorHAnsi"/>
                <w:color w:val="000000" w:themeColor="text1"/>
                <w:lang w:eastAsia="zh-CN"/>
              </w:rPr>
              <w:lastRenderedPageBreak/>
              <w:t>1</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1311"/>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Arial" w:cstheme="minorHAnsi"/>
                <w:lang w:eastAsia="zh-CN"/>
              </w:rPr>
            </w:pPr>
            <w:r w:rsidRPr="003455CF">
              <w:rPr>
                <w:rFonts w:eastAsia="Arial" w:cstheme="minorHAnsi"/>
                <w:lang w:eastAsia="zh-CN"/>
              </w:rPr>
              <w:t>6.</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Udział w szkoleniu i doradztwie </w:t>
            </w:r>
            <w:r w:rsidRPr="003455CF">
              <w:rPr>
                <w:rFonts w:eastAsia="Times New Roman" w:cstheme="minorHAnsi"/>
                <w:lang w:eastAsia="zh-CN"/>
              </w:rPr>
              <w:lastRenderedPageBreak/>
              <w:t>organizowanym przez LGD</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 xml:space="preserve">Kryterium preferuje wnioskodawców, którzy brali udział w szkoleniu organizowanym przez LGD oraz doradztwie w ramach konkursu, w którym zamierzają złożyć wniosek o </w:t>
            </w:r>
            <w:r w:rsidRPr="003455CF">
              <w:rPr>
                <w:rFonts w:eastAsia="Times New Roman" w:cstheme="minorHAnsi"/>
                <w:lang w:eastAsia="zh-CN"/>
              </w:rPr>
              <w:lastRenderedPageBreak/>
              <w:t xml:space="preserve">wsparcie. </w:t>
            </w:r>
          </w:p>
          <w:p w:rsidR="005F2AE6" w:rsidRPr="003455CF" w:rsidRDefault="005F2AE6" w:rsidP="008D6F62">
            <w:pPr>
              <w:suppressAutoHyphens/>
              <w:spacing w:after="120"/>
              <w:jc w:val="both"/>
              <w:rPr>
                <w:rFonts w:eastAsia="Times New Roman" w:cstheme="minorHAnsi"/>
                <w:lang w:eastAsia="zh-CN"/>
              </w:rPr>
            </w:pP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 xml:space="preserve">Kryterium uznaje się za spełnione jeżeli w szkoleniu w pełnym wymiarze czasu i/lub doradztwie brał udział wnioskodawca lub reprezentant lub </w:t>
            </w:r>
            <w:r w:rsidRPr="003455CF">
              <w:rPr>
                <w:rFonts w:eastAsia="Times New Roman" w:cstheme="minorHAnsi"/>
                <w:lang w:eastAsia="zh-CN"/>
              </w:rPr>
              <w:lastRenderedPageBreak/>
              <w:t>pracownik wnioskodawcy.</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Potwierdzenie udziału w szkoleniu będzie poświadczane podpisem na liście obecności ze szkolenia w ramach naboru, w którym został złożony wniosek.</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Potwierdzenie udziału w doradztwie będzie </w:t>
            </w:r>
            <w:r w:rsidRPr="003455CF">
              <w:rPr>
                <w:rFonts w:eastAsia="Times New Roman" w:cstheme="minorHAnsi"/>
                <w:shd w:val="clear" w:color="auto" w:fill="FFFFFF" w:themeFill="background1"/>
                <w:lang w:eastAsia="zh-CN"/>
              </w:rPr>
              <w:t>poświadczane podpisem na rejestrze doradztwa.</w:t>
            </w:r>
            <w:r w:rsidRPr="003455CF">
              <w:rPr>
                <w:rFonts w:eastAsia="Times New Roman" w:cstheme="minorHAnsi"/>
                <w:lang w:eastAsia="zh-CN"/>
              </w:rPr>
              <w:t xml:space="preserve"> </w:t>
            </w:r>
          </w:p>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t>Kryterium nie zostanie uznane za spełnione w przypadku</w:t>
            </w:r>
            <w:r w:rsidRPr="003455CF">
              <w:rPr>
                <w:rFonts w:cstheme="minorHAnsi"/>
              </w:rPr>
              <w:t xml:space="preserve"> </w:t>
            </w:r>
            <w:r w:rsidRPr="003455CF">
              <w:rPr>
                <w:rFonts w:eastAsia="Times New Roman" w:cstheme="minorHAnsi"/>
                <w:lang w:eastAsia="zh-CN"/>
              </w:rPr>
              <w:t>korzystania z doradztwa udzielonego w rozmowie telefonicznej, podczas spotkania informacyjnego lub udziału w szkoleniu i/lub doradztwie w konkursie innym niż konkurs, w ramach którego został złożony wniosek.</w:t>
            </w:r>
          </w:p>
          <w:p w:rsidR="005F2AE6" w:rsidRPr="003455CF" w:rsidRDefault="005F2AE6" w:rsidP="008D6F62">
            <w:pPr>
              <w:jc w:val="both"/>
              <w:rPr>
                <w:rFonts w:eastAsia="ヒラギノ角ゴ Pro W3" w:cstheme="minorHAnsi"/>
                <w:strike/>
                <w:lang w:eastAsia="pl-PL"/>
              </w:rPr>
            </w:pPr>
            <w:r w:rsidRPr="003455CF">
              <w:rPr>
                <w:rFonts w:eastAsia="Times New Roman" w:cstheme="minorHAnsi"/>
                <w:lang w:eastAsia="zh-CN"/>
              </w:rPr>
              <w:t>Kryterium weryfikowane w oparciu o listę obecności na szkoleniu</w:t>
            </w:r>
            <w:r w:rsidRPr="003455CF">
              <w:rPr>
                <w:rFonts w:cstheme="minorHAnsi"/>
              </w:rPr>
              <w:t xml:space="preserve"> </w:t>
            </w:r>
            <w:r w:rsidRPr="003455CF">
              <w:rPr>
                <w:rFonts w:eastAsia="Times New Roman" w:cstheme="minorHAnsi"/>
                <w:lang w:eastAsia="zh-CN"/>
              </w:rPr>
              <w:t>w ramach danego naboru wniosków oraz rejestr doradztwa.</w:t>
            </w:r>
          </w:p>
        </w:tc>
        <w:tc>
          <w:tcPr>
            <w:tcW w:w="2835" w:type="dxa"/>
            <w:tcBorders>
              <w:top w:val="single" w:sz="4" w:space="0" w:color="auto"/>
              <w:left w:val="nil"/>
              <w:bottom w:val="single" w:sz="8" w:space="0" w:color="000000"/>
              <w:right w:val="single" w:sz="8" w:space="0" w:color="000000"/>
            </w:tcBorders>
          </w:tcPr>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lastRenderedPageBreak/>
              <w:t>10 pkt</w:t>
            </w:r>
            <w:r w:rsidRPr="003455CF">
              <w:rPr>
                <w:rFonts w:eastAsia="Times New Roman" w:cstheme="minorHAnsi"/>
                <w:lang w:eastAsia="zh-CN"/>
              </w:rPr>
              <w:t xml:space="preserve"> – Wnioskodawca wziął udział w szkoleniu i doradztwie organizowanym przez LGD, w ramach </w:t>
            </w:r>
            <w:r w:rsidRPr="003455CF">
              <w:rPr>
                <w:rFonts w:eastAsia="Times New Roman" w:cstheme="minorHAnsi"/>
                <w:lang w:eastAsia="zh-CN"/>
              </w:rPr>
              <w:lastRenderedPageBreak/>
              <w:t>konkursu, w którym został złożony wniosek;</w:t>
            </w:r>
          </w:p>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t>5 pkt</w:t>
            </w:r>
            <w:r w:rsidRPr="003455CF">
              <w:rPr>
                <w:rFonts w:eastAsia="Times New Roman" w:cstheme="minorHAnsi"/>
                <w:lang w:eastAsia="zh-CN"/>
              </w:rPr>
              <w:t xml:space="preserve"> – Wnioskodawca wziął udział w szkoleniu lub doradztwie organizowanym przez LGD  w ramach konkursu, w którym został złożony wniosek;</w:t>
            </w:r>
          </w:p>
          <w:p w:rsidR="005F2AE6"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t>0 pkt</w:t>
            </w:r>
            <w:r w:rsidRPr="003455CF">
              <w:rPr>
                <w:rFonts w:eastAsia="Times New Roman" w:cstheme="minorHAnsi"/>
                <w:lang w:eastAsia="zh-CN"/>
              </w:rPr>
              <w:t xml:space="preserve"> – Wnioskodawca nie brał udziału w szkoleniu i doradztwie organizowanym przez LGD, w ramach konkursu, w którym został złożony wniosek. </w:t>
            </w:r>
          </w:p>
          <w:p w:rsidR="005F2AE6" w:rsidRPr="002F215D" w:rsidRDefault="005F2AE6" w:rsidP="008D6F62">
            <w:pPr>
              <w:rPr>
                <w:rFonts w:eastAsia="Times New Roman" w:cstheme="minorHAnsi"/>
                <w:b/>
                <w:bCs/>
                <w:lang w:eastAsia="zh-CN"/>
              </w:rPr>
            </w:pPr>
            <w:r w:rsidRPr="002F215D">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613"/>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7.</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Promocja LGD i LSR</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Kryterium premiuje wnioskodawców deklarujących informowanie społeczności lokalnej o źródłach finansowania </w:t>
            </w:r>
            <w:r w:rsidRPr="003455CF">
              <w:rPr>
                <w:rFonts w:eastAsia="Times New Roman" w:cstheme="minorHAnsi"/>
                <w:lang w:eastAsia="zh-CN"/>
              </w:rPr>
              <w:lastRenderedPageBreak/>
              <w:t>operacji, w szczególności o roli LGD jako podmiotu pośredniczącego w pozyskaniu środków w zakresie szerszym niż to wynika z obowiązków informacyjnych przewidzianych w  Księdze Wizualizacji PS WPR na lata 2023-2027.</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Preferowane są operacje promujące LGD lub LSR tj. upowszechnianie informacji dot. realizacji operacji wraz z podaniem źródła finansowania z wykorzystaniem logo LGD, symboli UE, PS WPR. w formie innej niż tablica informacyjna/plakat (np. folder, strona internetowa, media społecznościowe, materiały </w:t>
            </w:r>
            <w:proofErr w:type="spellStart"/>
            <w:r w:rsidRPr="003455CF">
              <w:rPr>
                <w:rFonts w:eastAsia="Times New Roman" w:cstheme="minorHAnsi"/>
                <w:lang w:eastAsia="zh-CN"/>
              </w:rPr>
              <w:t>informacyjno</w:t>
            </w:r>
            <w:proofErr w:type="spellEnd"/>
            <w:r w:rsidRPr="003455CF">
              <w:rPr>
                <w:rFonts w:eastAsia="Times New Roman" w:cstheme="minorHAnsi"/>
                <w:lang w:eastAsia="zh-CN"/>
              </w:rPr>
              <w:t xml:space="preserve"> – promocyjne, audycja, wystawa, art. prasowy itp.).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lastRenderedPageBreak/>
              <w:t xml:space="preserve">W celu zachowania elastyczności kryterium oraz równych szans w </w:t>
            </w:r>
            <w:r w:rsidRPr="003455CF">
              <w:rPr>
                <w:rFonts w:eastAsia="Times New Roman" w:cstheme="minorHAnsi"/>
                <w:lang w:eastAsia="zh-CN"/>
              </w:rPr>
              <w:lastRenderedPageBreak/>
              <w:t xml:space="preserve">dostępie do środków, LGD nie zamyka listy możliwych sposobów promowania LGD i LSR. Zadaniem wnioskodawcy jest wskazać sposób promocji LGD i LSR w ramach planowanej do realizacji operacji. </w:t>
            </w:r>
          </w:p>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3455CF" w:rsidRDefault="005F2AE6" w:rsidP="008D6F62">
            <w:pPr>
              <w:rPr>
                <w:rFonts w:eastAsia="Times New Roman" w:cstheme="minorHAnsi"/>
                <w:lang w:eastAsia="zh-CN"/>
              </w:rPr>
            </w:pPr>
            <w:r w:rsidRPr="003455CF">
              <w:rPr>
                <w:rFonts w:eastAsia="Times New Roman" w:cstheme="minorHAnsi"/>
                <w:b/>
                <w:bCs/>
                <w:lang w:eastAsia="zh-CN"/>
              </w:rPr>
              <w:lastRenderedPageBreak/>
              <w:t xml:space="preserve">10 pkt </w:t>
            </w:r>
            <w:r w:rsidRPr="003455CF">
              <w:rPr>
                <w:rFonts w:eastAsia="Times New Roman" w:cstheme="minorHAnsi"/>
                <w:lang w:eastAsia="zh-CN"/>
              </w:rPr>
              <w:t xml:space="preserve">- wnioskodawca zaplanował promocję LGD i </w:t>
            </w:r>
            <w:r w:rsidRPr="003455CF">
              <w:rPr>
                <w:rFonts w:eastAsia="Times New Roman" w:cstheme="minorHAnsi"/>
                <w:lang w:eastAsia="zh-CN"/>
              </w:rPr>
              <w:lastRenderedPageBreak/>
              <w:t>LSR w ramach planowanej do realizacji operacji;</w:t>
            </w:r>
          </w:p>
          <w:p w:rsidR="005F2AE6" w:rsidRDefault="005F2AE6" w:rsidP="008D6F62">
            <w:pPr>
              <w:rPr>
                <w:rFonts w:eastAsia="Times New Roman" w:cstheme="minorHAnsi"/>
                <w:lang w:eastAsia="zh-CN"/>
              </w:rPr>
            </w:pPr>
            <w:r w:rsidRPr="003455CF">
              <w:rPr>
                <w:rFonts w:eastAsia="Times New Roman" w:cstheme="minorHAnsi"/>
                <w:b/>
                <w:bCs/>
                <w:lang w:eastAsia="zh-CN"/>
              </w:rPr>
              <w:t xml:space="preserve">0 pkt </w:t>
            </w:r>
            <w:r w:rsidRPr="003455CF">
              <w:rPr>
                <w:rFonts w:eastAsia="Times New Roman" w:cstheme="minorHAnsi"/>
                <w:lang w:eastAsia="zh-CN"/>
              </w:rPr>
              <w:t>- wnioskodawca nie spełnia powyższego kryterium.</w:t>
            </w:r>
          </w:p>
          <w:p w:rsidR="005F2AE6" w:rsidRPr="002F215D" w:rsidRDefault="005F2AE6" w:rsidP="008D6F62">
            <w:pPr>
              <w:rPr>
                <w:rFonts w:eastAsia="Times New Roman" w:cstheme="minorHAnsi"/>
                <w:b/>
                <w:bCs/>
                <w:lang w:eastAsia="zh-CN"/>
              </w:rPr>
            </w:pPr>
            <w:r w:rsidRPr="002F215D">
              <w:rPr>
                <w:rFonts w:eastAsia="Times New Roman" w:cstheme="minorHAnsi"/>
                <w:b/>
                <w:bCs/>
                <w:lang w:eastAsia="zh-CN"/>
              </w:rPr>
              <w:t>Maksymalna liczba punktów: 1</w:t>
            </w:r>
            <w:r>
              <w:rPr>
                <w:rFonts w:eastAsia="Times New Roman" w:cstheme="minorHAnsi"/>
                <w:b/>
                <w:bCs/>
                <w:lang w:eastAsia="zh-CN"/>
              </w:rPr>
              <w:t>0</w:t>
            </w: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3</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1321"/>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t>8.</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t>Preferowane branże turystyczne i okołoturystyczne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t xml:space="preserve">Branże turystyczne i okołoturystyczne </w:t>
            </w:r>
            <w:r w:rsidRPr="0089751B">
              <w:rPr>
                <w:rFonts w:eastAsia="Times New Roman" w:cstheme="minorHAnsi"/>
                <w:highlight w:val="white"/>
                <w:lang w:eastAsia="zh-CN"/>
              </w:rPr>
              <w:t xml:space="preserve">to </w:t>
            </w:r>
            <w:r w:rsidRPr="0089751B">
              <w:rPr>
                <w:rFonts w:eastAsia="Times New Roman" w:cstheme="minorHAnsi"/>
                <w:lang w:eastAsia="zh-CN"/>
              </w:rPr>
              <w:t>kompleks różnorodnych funkcji gospodarczych i społecznych bezpośrednio lub pośrednio rozwijanych w celu zaspokojenia zapotrzebowania człowieka na dobra i usługi turystyczne, w tym m.in.: obiekty noclegowe, baza gastronomiczna, atrakcje turystyczne, informacja turystyczna.</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rPr>
                <w:rFonts w:cstheme="minorHAnsi"/>
              </w:rPr>
            </w:pPr>
            <w:r w:rsidRPr="0089751B">
              <w:rPr>
                <w:rFonts w:cstheme="minorHAnsi"/>
              </w:rPr>
              <w:t xml:space="preserve">W tym kryterium przyznaje się punkty za operację, które są preferowane. Preferowane branże to branże turystyczne oraz okołoturystyczne.  Wnioskodawca chcąc uzyskać dodatkowe punkty musi uzasadnić, że planowana operacja jest branżą turystyczną lub okołoturystyczną. </w:t>
            </w:r>
          </w:p>
          <w:p w:rsidR="005F2AE6" w:rsidRPr="0089751B" w:rsidRDefault="005F2AE6" w:rsidP="008D6F62">
            <w:pPr>
              <w:rPr>
                <w:rFonts w:cstheme="minorHAnsi"/>
              </w:rPr>
            </w:pPr>
            <w:r w:rsidRPr="0089751B">
              <w:rPr>
                <w:rFonts w:cstheme="minorHAnsi"/>
              </w:rPr>
              <w:t xml:space="preserve">Branża okołoturystyczna to obszar gospodarki związany z usługami, produktami i działaniami wspierającymi turystykę, ale niebezpośrednio z nią związany. </w:t>
            </w:r>
            <w:r w:rsidRPr="0089751B">
              <w:rPr>
                <w:rFonts w:cstheme="minorHAnsi"/>
              </w:rPr>
              <w:lastRenderedPageBreak/>
              <w:t>Obejmuje ona szeroki zakres działalności, które są powiązane z sektorem turystycznym, ale nie są jego bezpośrednią częścią.</w:t>
            </w:r>
          </w:p>
          <w:p w:rsidR="005F2AE6" w:rsidRPr="0089751B" w:rsidRDefault="005F2AE6" w:rsidP="008D6F62">
            <w:pPr>
              <w:rPr>
                <w:rFonts w:cstheme="minorHAnsi"/>
              </w:rPr>
            </w:pPr>
            <w:r w:rsidRPr="0089751B">
              <w:rPr>
                <w:rFonts w:cstheme="minorHAnsi"/>
              </w:rPr>
              <w:t>W skład branży okołoturystycznej mogą wchodzić różnorodne usługi i produkty, takie jak:</w:t>
            </w:r>
          </w:p>
          <w:p w:rsidR="005F2AE6" w:rsidRPr="0089751B" w:rsidRDefault="005F2AE6" w:rsidP="008D6F62">
            <w:pPr>
              <w:rPr>
                <w:rFonts w:cstheme="minorHAnsi"/>
              </w:rPr>
            </w:pPr>
            <w:r w:rsidRPr="0089751B">
              <w:rPr>
                <w:rFonts w:cstheme="minorHAnsi"/>
              </w:rPr>
              <w:t>•</w:t>
            </w:r>
            <w:r w:rsidRPr="0089751B">
              <w:rPr>
                <w:rFonts w:cstheme="minorHAnsi"/>
              </w:rPr>
              <w:tab/>
              <w:t>Transport lokalny i przewozy turystyczne (np. wynajem rowerów, wypożyczalnie samochodów, busy turystyczne).</w:t>
            </w:r>
          </w:p>
          <w:p w:rsidR="005F2AE6" w:rsidRPr="0089751B" w:rsidRDefault="005F2AE6" w:rsidP="008D6F62">
            <w:pPr>
              <w:rPr>
                <w:rFonts w:cstheme="minorHAnsi"/>
              </w:rPr>
            </w:pPr>
            <w:r w:rsidRPr="0089751B">
              <w:rPr>
                <w:rFonts w:cstheme="minorHAnsi"/>
              </w:rPr>
              <w:t>•</w:t>
            </w:r>
            <w:r w:rsidRPr="0089751B">
              <w:rPr>
                <w:rFonts w:cstheme="minorHAnsi"/>
              </w:rPr>
              <w:tab/>
              <w:t>Gastronomia i usługi restauracyjne.</w:t>
            </w:r>
          </w:p>
          <w:p w:rsidR="005F2AE6" w:rsidRPr="0089751B" w:rsidRDefault="005F2AE6" w:rsidP="008D6F62">
            <w:pPr>
              <w:rPr>
                <w:rFonts w:cstheme="minorHAnsi"/>
              </w:rPr>
            </w:pPr>
            <w:r w:rsidRPr="0089751B">
              <w:rPr>
                <w:rFonts w:cstheme="minorHAnsi"/>
              </w:rPr>
              <w:t>•</w:t>
            </w:r>
            <w:r w:rsidRPr="0089751B">
              <w:rPr>
                <w:rFonts w:cstheme="minorHAnsi"/>
              </w:rPr>
              <w:tab/>
              <w:t>Zakwaterowanie (np. wynajem apartamentów, domków letniskowych, hosteli).</w:t>
            </w:r>
          </w:p>
          <w:p w:rsidR="005F2AE6" w:rsidRPr="0089751B" w:rsidRDefault="005F2AE6" w:rsidP="008D6F62">
            <w:pPr>
              <w:rPr>
                <w:rFonts w:cstheme="minorHAnsi"/>
              </w:rPr>
            </w:pPr>
            <w:r w:rsidRPr="0089751B">
              <w:rPr>
                <w:rFonts w:cstheme="minorHAnsi"/>
              </w:rPr>
              <w:t>•</w:t>
            </w:r>
            <w:r w:rsidRPr="0089751B">
              <w:rPr>
                <w:rFonts w:cstheme="minorHAnsi"/>
              </w:rPr>
              <w:tab/>
              <w:t>Usługi przewodnickie i oprowadzanie po atrakcjach turystycznych.</w:t>
            </w:r>
          </w:p>
          <w:p w:rsidR="005F2AE6" w:rsidRPr="0089751B" w:rsidRDefault="005F2AE6" w:rsidP="008D6F62">
            <w:pPr>
              <w:rPr>
                <w:rFonts w:cstheme="minorHAnsi"/>
              </w:rPr>
            </w:pPr>
            <w:r w:rsidRPr="0089751B">
              <w:rPr>
                <w:rFonts w:cstheme="minorHAnsi"/>
              </w:rPr>
              <w:t>•</w:t>
            </w:r>
            <w:r w:rsidRPr="0089751B">
              <w:rPr>
                <w:rFonts w:cstheme="minorHAnsi"/>
              </w:rPr>
              <w:tab/>
              <w:t>Handel detaliczny związany z turystyką (np. sklepy z pamiątkami, sklepy outdoorowe).</w:t>
            </w:r>
          </w:p>
          <w:p w:rsidR="005F2AE6" w:rsidRPr="0089751B" w:rsidRDefault="005F2AE6" w:rsidP="008D6F62">
            <w:pPr>
              <w:rPr>
                <w:rFonts w:cstheme="minorHAnsi"/>
              </w:rPr>
            </w:pPr>
            <w:r w:rsidRPr="0089751B">
              <w:rPr>
                <w:rFonts w:cstheme="minorHAnsi"/>
              </w:rPr>
              <w:lastRenderedPageBreak/>
              <w:t>•</w:t>
            </w:r>
            <w:r w:rsidRPr="0089751B">
              <w:rPr>
                <w:rFonts w:cstheme="minorHAnsi"/>
              </w:rPr>
              <w:tab/>
              <w:t>Rekreacja i rozrywka (np. parki rozrywki, baseny, spa).</w:t>
            </w:r>
          </w:p>
          <w:p w:rsidR="005F2AE6" w:rsidRPr="0089751B" w:rsidRDefault="005F2AE6" w:rsidP="008D6F62">
            <w:pPr>
              <w:rPr>
                <w:rFonts w:cstheme="minorHAnsi"/>
              </w:rPr>
            </w:pPr>
            <w:r w:rsidRPr="0089751B">
              <w:rPr>
                <w:rFonts w:cstheme="minorHAnsi"/>
              </w:rPr>
              <w:t>•</w:t>
            </w:r>
            <w:r w:rsidRPr="0089751B">
              <w:rPr>
                <w:rFonts w:cstheme="minorHAnsi"/>
              </w:rPr>
              <w:tab/>
              <w:t xml:space="preserve">Usługi zdrowotne i </w:t>
            </w:r>
            <w:proofErr w:type="spellStart"/>
            <w:r w:rsidRPr="0089751B">
              <w:rPr>
                <w:rFonts w:cstheme="minorHAnsi"/>
              </w:rPr>
              <w:t>wellness</w:t>
            </w:r>
            <w:proofErr w:type="spellEnd"/>
            <w:r w:rsidRPr="0089751B">
              <w:rPr>
                <w:rFonts w:cstheme="minorHAnsi"/>
              </w:rPr>
              <w:t xml:space="preserve"> (np. ośrodki spa, sanatoria).</w:t>
            </w:r>
          </w:p>
          <w:p w:rsidR="005F2AE6" w:rsidRPr="0089751B" w:rsidRDefault="005F2AE6" w:rsidP="008D6F62">
            <w:pPr>
              <w:rPr>
                <w:rFonts w:cstheme="minorHAnsi"/>
              </w:rPr>
            </w:pPr>
            <w:r w:rsidRPr="0089751B">
              <w:rPr>
                <w:rFonts w:cstheme="minorHAnsi"/>
              </w:rPr>
              <w:t>•</w:t>
            </w:r>
            <w:r w:rsidRPr="0089751B">
              <w:rPr>
                <w:rFonts w:cstheme="minorHAnsi"/>
              </w:rPr>
              <w:tab/>
              <w:t>Edukacja i szkolenia związane z turystyką i rekreacją.</w:t>
            </w:r>
          </w:p>
          <w:p w:rsidR="005F2AE6" w:rsidRPr="005F2AE6" w:rsidRDefault="005F2AE6" w:rsidP="008D6F62">
            <w:pPr>
              <w:suppressAutoHyphens/>
              <w:spacing w:after="120"/>
              <w:jc w:val="both"/>
              <w:rPr>
                <w:rFonts w:cstheme="minorHAnsi"/>
              </w:rPr>
            </w:pPr>
            <w:r w:rsidRPr="0089751B">
              <w:rPr>
                <w:rFonts w:cstheme="minorHAnsi"/>
              </w:rPr>
              <w:t>Branża okołoturystyczna stanowi istotny segment gospodarki, który wspiera rozwój turystyki poprzez zapewnienie różnorodnych usług i udogodnień dla podróżnych. Pomaga ona w tworzeniu kompleksowej oferty dla turystów oraz przyczynia się do zrównoważonego rozwoju regionów turystycznych.</w:t>
            </w:r>
          </w:p>
        </w:tc>
        <w:tc>
          <w:tcPr>
            <w:tcW w:w="2835" w:type="dxa"/>
            <w:tcBorders>
              <w:top w:val="nil"/>
              <w:left w:val="nil"/>
              <w:bottom w:val="single" w:sz="8" w:space="0" w:color="000000"/>
              <w:right w:val="single" w:sz="8" w:space="0" w:color="000000"/>
            </w:tcBorders>
          </w:tcPr>
          <w:p w:rsidR="005F2AE6" w:rsidRPr="0089751B" w:rsidRDefault="005F2AE6" w:rsidP="008D6F62">
            <w:pPr>
              <w:tabs>
                <w:tab w:val="left" w:pos="4635"/>
              </w:tabs>
              <w:rPr>
                <w:rFonts w:cstheme="minorHAnsi"/>
              </w:rPr>
            </w:pPr>
            <w:r>
              <w:rPr>
                <w:rFonts w:cstheme="minorHAnsi"/>
                <w:b/>
                <w:bCs/>
              </w:rPr>
              <w:lastRenderedPageBreak/>
              <w:t>5</w:t>
            </w:r>
            <w:r w:rsidRPr="0089751B">
              <w:rPr>
                <w:rFonts w:cstheme="minorHAnsi"/>
                <w:b/>
                <w:bCs/>
              </w:rPr>
              <w:t xml:space="preserve"> pkt- </w:t>
            </w:r>
            <w:r w:rsidRPr="0089751B">
              <w:rPr>
                <w:rFonts w:cstheme="minorHAnsi"/>
              </w:rPr>
              <w:t>operacja wpisuje się w branże preferowaną;</w:t>
            </w:r>
          </w:p>
          <w:p w:rsidR="005F2AE6" w:rsidRDefault="005F2AE6" w:rsidP="008D6F62">
            <w:pPr>
              <w:suppressAutoHyphens/>
              <w:spacing w:after="120"/>
              <w:jc w:val="both"/>
              <w:rPr>
                <w:rFonts w:cstheme="minorHAnsi"/>
              </w:rPr>
            </w:pPr>
            <w:r w:rsidRPr="0089751B">
              <w:rPr>
                <w:rFonts w:cstheme="minorHAnsi"/>
                <w:b/>
                <w:bCs/>
              </w:rPr>
              <w:t xml:space="preserve">0 pkt.- </w:t>
            </w:r>
            <w:r w:rsidRPr="0089751B">
              <w:rPr>
                <w:rFonts w:cstheme="minorHAnsi"/>
              </w:rPr>
              <w:t>operacja nie spełnia powyższego kryterium</w:t>
            </w:r>
          </w:p>
          <w:p w:rsidR="005F2AE6" w:rsidRDefault="005F2AE6" w:rsidP="008D6F62">
            <w:pPr>
              <w:suppressAutoHyphens/>
              <w:spacing w:after="120"/>
              <w:jc w:val="both"/>
              <w:rPr>
                <w:rFonts w:cstheme="minorHAnsi"/>
              </w:rPr>
            </w:pPr>
          </w:p>
          <w:p w:rsidR="005F2AE6" w:rsidRPr="003455CF" w:rsidRDefault="005F2AE6" w:rsidP="008D6F62">
            <w:pPr>
              <w:suppressAutoHyphens/>
              <w:spacing w:after="120"/>
              <w:jc w:val="both"/>
              <w:rPr>
                <w:rFonts w:eastAsia="Times New Roman" w:cstheme="minorHAnsi"/>
                <w:lang w:eastAsia="zh-CN"/>
              </w:rPr>
            </w:pPr>
            <w:r w:rsidRPr="002F215D">
              <w:rPr>
                <w:rFonts w:eastAsia="Times New Roman" w:cstheme="minorHAnsi"/>
                <w:b/>
                <w:bCs/>
                <w:lang w:eastAsia="zh-CN"/>
              </w:rPr>
              <w:t xml:space="preserve">Maksymalna liczba punktów: </w:t>
            </w: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trHeight w:val="2616"/>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Pr>
                <w:rFonts w:eastAsia="Times New Roman" w:cstheme="minorHAnsi"/>
                <w:lang w:eastAsia="zh-CN"/>
              </w:rPr>
              <w:lastRenderedPageBreak/>
              <w:t>9</w:t>
            </w:r>
            <w:r w:rsidRPr="003455CF">
              <w:rPr>
                <w:rFonts w:eastAsia="Times New Roman" w:cstheme="minorHAnsi"/>
                <w:lang w:eastAsia="zh-CN"/>
              </w:rPr>
              <w:t>.</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rPr>
                <w:rFonts w:eastAsia="Times New Roman" w:cstheme="minorHAnsi"/>
                <w:color w:val="000000" w:themeColor="text1"/>
                <w:lang w:eastAsia="zh-CN"/>
              </w:rPr>
            </w:pPr>
            <w:r w:rsidRPr="0089751B">
              <w:rPr>
                <w:rFonts w:eastAsia="Times New Roman" w:cstheme="minorHAnsi"/>
                <w:color w:val="000000" w:themeColor="text1"/>
                <w:lang w:eastAsia="zh-CN"/>
              </w:rPr>
              <w:t>Wykorzystanie lokalnego potencjału</w:t>
            </w: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tc>
        <w:tc>
          <w:tcPr>
            <w:tcW w:w="5670"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pacing w:after="0"/>
              <w:rPr>
                <w:rFonts w:cstheme="minorHAnsi"/>
                <w:color w:val="000000" w:themeColor="text1"/>
                <w:lang w:eastAsia="pl-PL"/>
              </w:rPr>
            </w:pPr>
            <w:r w:rsidRPr="0089751B">
              <w:rPr>
                <w:rFonts w:cstheme="minorHAnsi"/>
                <w:color w:val="000000" w:themeColor="text1"/>
                <w:lang w:eastAsia="pl-PL"/>
              </w:rPr>
              <w:lastRenderedPageBreak/>
              <w:t>Kryterium pozwala na preferowanie projektów, które wykorzystują lokalny potencjał, w szczególności endemiczny (</w:t>
            </w:r>
            <w:r w:rsidRPr="0089751B">
              <w:rPr>
                <w:rFonts w:cstheme="minorHAnsi"/>
                <w:color w:val="000000" w:themeColor="text1"/>
              </w:rPr>
              <w:t xml:space="preserve">taki jak: zasoby naturalne, w tym przyrodnicze, lokalizacja, dziedzictwo lokalne, w tym kulinarne, popyt na szczególnego rodzaju usługi) </w:t>
            </w:r>
            <w:r w:rsidRPr="0089751B">
              <w:rPr>
                <w:rFonts w:cstheme="minorHAnsi"/>
                <w:color w:val="000000" w:themeColor="text1"/>
                <w:lang w:eastAsia="pl-PL"/>
              </w:rPr>
              <w:t>w ramach zaplanowanej do realizacji działalności gospodarczej.</w:t>
            </w:r>
          </w:p>
          <w:p w:rsidR="005F2AE6" w:rsidRPr="0089751B" w:rsidRDefault="005F2AE6" w:rsidP="008D6F62">
            <w:pPr>
              <w:spacing w:after="0"/>
              <w:rPr>
                <w:rFonts w:cstheme="minorHAnsi"/>
                <w:color w:val="000000" w:themeColor="text1"/>
                <w:lang w:eastAsia="pl-PL"/>
              </w:rPr>
            </w:pPr>
            <w:r w:rsidRPr="0089751B">
              <w:rPr>
                <w:rFonts w:cstheme="minorHAnsi"/>
                <w:color w:val="000000" w:themeColor="text1"/>
                <w:lang w:eastAsia="pl-PL"/>
              </w:rPr>
              <w:t xml:space="preserve">Potencjał endemiczny - to specyficzna dla danego obszaru (regionu, powiatu, gminy, obszaru powiązanego </w:t>
            </w:r>
            <w:r w:rsidRPr="0089751B">
              <w:rPr>
                <w:rFonts w:cstheme="minorHAnsi"/>
                <w:color w:val="000000" w:themeColor="text1"/>
                <w:lang w:eastAsia="pl-PL"/>
              </w:rPr>
              <w:lastRenderedPageBreak/>
              <w:t xml:space="preserve">funkcjonalnie) cecha, która może być podstawą jego dalszego rozwoju (przynoszącą korzyści społeczne i ekonomiczne) nie tylko ze względu na obiektywnie korzystne uwarunkowanie, które stanowi, ale często także ze względu na fakt odróżniania danego obszaru od jego sąsiedztwa (potencjał endemiczny jako cecha różnicująca obszary). </w:t>
            </w:r>
          </w:p>
          <w:p w:rsidR="005F2AE6" w:rsidRPr="0089751B" w:rsidRDefault="005F2AE6" w:rsidP="008D6F62">
            <w:pPr>
              <w:suppressAutoHyphens/>
              <w:spacing w:after="120"/>
              <w:jc w:val="both"/>
              <w:rPr>
                <w:rFonts w:cstheme="minorHAnsi"/>
                <w:color w:val="000000" w:themeColor="text1"/>
              </w:rPr>
            </w:pPr>
            <w:r w:rsidRPr="0089751B">
              <w:rPr>
                <w:rFonts w:cstheme="minorHAnsi"/>
                <w:color w:val="000000" w:themeColor="text1"/>
              </w:rPr>
              <w:t>Wykorzystanie tych zasobów (np. historii, tradycji, kultury, sztuki, które są charakterystyczne dla danego obszaru, wytworów i rzemiosła, które są unikalne i charakterystyczne dla regionu) może napędzać lokalną gospodarkę oraz wspierać rozwój i potencjał turystyczny regionu.</w:t>
            </w:r>
          </w:p>
          <w:p w:rsidR="005F2AE6" w:rsidRPr="0089751B" w:rsidRDefault="005F2AE6" w:rsidP="008D6F62">
            <w:pPr>
              <w:rPr>
                <w:rFonts w:eastAsia="Times New Roman" w:cstheme="minorHAnsi"/>
                <w:lang w:eastAsia="zh-CN"/>
              </w:rPr>
            </w:pPr>
          </w:p>
        </w:tc>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AE6" w:rsidRPr="0089751B" w:rsidRDefault="005F2AE6" w:rsidP="008D6F62">
            <w:pPr>
              <w:suppressAutoHyphens/>
              <w:spacing w:after="0"/>
              <w:jc w:val="both"/>
              <w:rPr>
                <w:rFonts w:eastAsia="Arial" w:cstheme="minorHAnsi"/>
                <w:color w:val="000000" w:themeColor="text1"/>
                <w:lang w:eastAsia="zh-CN"/>
              </w:rPr>
            </w:pPr>
            <w:r w:rsidRPr="0089751B">
              <w:rPr>
                <w:rFonts w:eastAsia="Arial" w:cstheme="minorHAnsi"/>
                <w:color w:val="000000" w:themeColor="text1"/>
                <w:lang w:eastAsia="zh-CN"/>
              </w:rPr>
              <w:lastRenderedPageBreak/>
              <w:t xml:space="preserve">Kryterium zostanie uznane za spełnione, jeżeli główne zamierzenie projektu w ramach działalności gospodarczej objętej wsparciem ze środków LSR będzie polegało na świadczeniu usług wykorzystujących lokalny potencjał, a efekty zrealizowanego projektu przyczynią się </w:t>
            </w:r>
            <w:r w:rsidRPr="0089751B">
              <w:rPr>
                <w:rFonts w:eastAsia="Arial" w:cstheme="minorHAnsi"/>
                <w:color w:val="000000" w:themeColor="text1"/>
                <w:lang w:eastAsia="zh-CN"/>
              </w:rPr>
              <w:lastRenderedPageBreak/>
              <w:t xml:space="preserve">do: </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xml:space="preserve">- promowania dziedzictwa kulturowego obszaru LSR, lokalnego rzemiosła, rękodzieła ludowego, produktów lokalnych i/lub; </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wykorzystanie zasobów naturalnych, w tym przyrodniczych obszaru i/lub;</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promowanie unikalnych tradycji i kultury obszaru LSR i/lub;</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rozwoju działalności okołoturystycznej uwzględniającej lokalny kontekst i zasoby kulturowe obszaru LSR.</w:t>
            </w:r>
          </w:p>
          <w:p w:rsidR="005F2AE6" w:rsidRPr="0089751B" w:rsidRDefault="005F2AE6" w:rsidP="008D6F62">
            <w:pPr>
              <w:jc w:val="both"/>
              <w:rPr>
                <w:rFonts w:cstheme="minorHAnsi"/>
                <w:color w:val="000000" w:themeColor="text1"/>
                <w:lang w:eastAsia="pl-PL"/>
              </w:rPr>
            </w:pPr>
            <w:r w:rsidRPr="0089751B">
              <w:rPr>
                <w:rFonts w:eastAsia="Arial" w:cstheme="minorHAnsi"/>
                <w:color w:val="000000" w:themeColor="text1"/>
                <w:lang w:eastAsia="zh-CN"/>
              </w:rPr>
              <w:t xml:space="preserve">W celu zachowania elastyczności kryterium oraz równych szans w dostępie do środków, LGD nie zamyka listy możliwych sposobów wykorzystania lokalnego potencjału </w:t>
            </w:r>
            <w:r w:rsidRPr="0089751B">
              <w:rPr>
                <w:color w:val="000000" w:themeColor="text1"/>
              </w:rPr>
              <w:t>w ramach</w:t>
            </w:r>
            <w:r w:rsidRPr="0089751B">
              <w:rPr>
                <w:rFonts w:eastAsia="Arial" w:cstheme="minorHAnsi"/>
                <w:color w:val="000000" w:themeColor="text1"/>
                <w:lang w:eastAsia="zh-CN"/>
              </w:rPr>
              <w:t xml:space="preserve"> planowanego do realizacji projektu. </w:t>
            </w:r>
            <w:r w:rsidRPr="0089751B">
              <w:rPr>
                <w:rFonts w:cstheme="minorHAnsi"/>
                <w:color w:val="000000" w:themeColor="text1"/>
                <w:lang w:eastAsia="pl-PL"/>
              </w:rPr>
              <w:t xml:space="preserve">Zadaniem wnioskodawcy jest wskazać konkretne lokalne zasoby i sposób ich wykorzystania w ramach planowanej działalności gospodarczej. </w:t>
            </w:r>
          </w:p>
          <w:p w:rsidR="005F2AE6" w:rsidRPr="0089751B" w:rsidRDefault="005F2AE6" w:rsidP="008D6F62">
            <w:pPr>
              <w:jc w:val="both"/>
              <w:rPr>
                <w:rFonts w:eastAsia="Arial" w:cstheme="minorHAnsi"/>
                <w:color w:val="000000" w:themeColor="text1"/>
                <w:lang w:eastAsia="zh-CN"/>
              </w:rPr>
            </w:pPr>
            <w:r w:rsidRPr="0089751B">
              <w:rPr>
                <w:rFonts w:eastAsia="Arial" w:cstheme="minorHAnsi"/>
                <w:color w:val="000000" w:themeColor="text1"/>
                <w:lang w:eastAsia="zh-CN"/>
              </w:rPr>
              <w:t xml:space="preserve">Nie będą punktowane projekty mające </w:t>
            </w:r>
            <w:r w:rsidRPr="0089751B">
              <w:rPr>
                <w:rFonts w:eastAsia="Arial" w:cstheme="minorHAnsi"/>
                <w:color w:val="000000" w:themeColor="text1"/>
                <w:lang w:eastAsia="zh-CN"/>
              </w:rPr>
              <w:lastRenderedPageBreak/>
              <w:t>marginalny wpływ na wykorzystanie lokalnego potencjału w relacji do zakresu projekt, czy planowanych usług.</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89751B" w:rsidRDefault="005F2AE6" w:rsidP="008D6F62">
            <w:pPr>
              <w:spacing w:before="120"/>
              <w:rPr>
                <w:rFonts w:cstheme="minorHAnsi"/>
                <w:lang w:eastAsia="pl-PL"/>
              </w:rPr>
            </w:pPr>
            <w:r>
              <w:rPr>
                <w:rFonts w:cstheme="minorHAnsi"/>
                <w:b/>
                <w:bCs/>
                <w:lang w:eastAsia="pl-PL"/>
              </w:rPr>
              <w:lastRenderedPageBreak/>
              <w:t>10</w:t>
            </w:r>
            <w:r w:rsidRPr="0089751B">
              <w:rPr>
                <w:rFonts w:cstheme="minorHAnsi"/>
                <w:b/>
                <w:bCs/>
                <w:lang w:eastAsia="pl-PL"/>
              </w:rPr>
              <w:t xml:space="preserve"> pkt</w:t>
            </w:r>
            <w:r w:rsidRPr="0089751B">
              <w:rPr>
                <w:rFonts w:cstheme="minorHAnsi"/>
                <w:lang w:eastAsia="pl-PL"/>
              </w:rPr>
              <w:t xml:space="preserve"> – wnioskodawca w ramach projektu rozwija działalność gospodarczą opartą na wykorzystaniu lokalnego potencjału</w:t>
            </w:r>
          </w:p>
          <w:p w:rsidR="005F2AE6" w:rsidRPr="0089751B" w:rsidRDefault="005F2AE6" w:rsidP="008D6F62">
            <w:pPr>
              <w:spacing w:before="120"/>
              <w:rPr>
                <w:rFonts w:cstheme="minorHAnsi"/>
                <w:lang w:eastAsia="pl-PL"/>
              </w:rPr>
            </w:pPr>
            <w:r w:rsidRPr="0089751B">
              <w:rPr>
                <w:rFonts w:cstheme="minorHAnsi"/>
                <w:b/>
                <w:bCs/>
                <w:lang w:eastAsia="pl-PL"/>
              </w:rPr>
              <w:t>0 pkt</w:t>
            </w:r>
            <w:r w:rsidRPr="0089751B">
              <w:rPr>
                <w:rFonts w:cstheme="minorHAnsi"/>
                <w:lang w:eastAsia="pl-PL"/>
              </w:rPr>
              <w:t xml:space="preserve"> – wnioskodawca nie planuje działalności </w:t>
            </w:r>
            <w:r w:rsidRPr="0089751B">
              <w:rPr>
                <w:rFonts w:cstheme="minorHAnsi"/>
                <w:lang w:eastAsia="pl-PL"/>
              </w:rPr>
              <w:lastRenderedPageBreak/>
              <w:t>gospodarczej opartej na wykorzystaniu lokalnego potencjału, wnioskodawca nie przedstawił argumentacji lub przedstawił ją w sposób niewystarczający.</w:t>
            </w:r>
          </w:p>
          <w:p w:rsidR="005F2AE6" w:rsidRPr="0089751B" w:rsidRDefault="005F2AE6" w:rsidP="008D6F62">
            <w:pPr>
              <w:spacing w:before="120"/>
              <w:rPr>
                <w:rFonts w:cstheme="minorHAnsi"/>
                <w:b/>
                <w:bCs/>
                <w:lang w:eastAsia="pl-PL"/>
              </w:rPr>
            </w:pPr>
            <w:r>
              <w:rPr>
                <w:rFonts w:cstheme="minorHAnsi"/>
                <w:b/>
                <w:bCs/>
                <w:lang w:eastAsia="pl-PL"/>
              </w:rPr>
              <w:t>Maksymalna liczba punktów: 10</w:t>
            </w:r>
          </w:p>
          <w:p w:rsidR="005F2AE6" w:rsidRPr="0089751B" w:rsidRDefault="005F2AE6" w:rsidP="008D6F62">
            <w:pPr>
              <w:suppressAutoHyphens/>
              <w:spacing w:after="120"/>
              <w:jc w:val="both"/>
              <w:rPr>
                <w:rFonts w:eastAsia="Times New Roman" w:cstheme="minorHAnsi"/>
                <w:strike/>
                <w:color w:val="000000" w:themeColor="text1"/>
                <w:lang w:eastAsia="zh-CN"/>
              </w:rPr>
            </w:pP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color w:val="000000" w:themeColor="text1"/>
                <w:lang w:eastAsia="zh-CN"/>
              </w:rPr>
            </w:pPr>
          </w:p>
        </w:tc>
      </w:tr>
      <w:tr w:rsidR="005F2AE6" w:rsidRPr="003455CF" w:rsidTr="005F2AE6">
        <w:trPr>
          <w:trHeight w:val="539"/>
        </w:trPr>
        <w:tc>
          <w:tcPr>
            <w:tcW w:w="1843" w:type="dxa"/>
            <w:gridSpan w:val="2"/>
            <w:shd w:val="clear" w:color="auto" w:fill="F8F8F8"/>
          </w:tcPr>
          <w:p w:rsidR="005F2AE6" w:rsidRPr="003455CF" w:rsidRDefault="005F2AE6" w:rsidP="008D6F62">
            <w:pPr>
              <w:jc w:val="right"/>
              <w:rPr>
                <w:rFonts w:eastAsia="ヒラギノ角ゴ Pro W3" w:cstheme="minorHAnsi"/>
                <w:b/>
                <w:color w:val="000000"/>
              </w:rPr>
            </w:pPr>
            <w:r w:rsidRPr="003455CF">
              <w:rPr>
                <w:rFonts w:eastAsia="ヒラギノ角ゴ Pro W3" w:cstheme="minorHAnsi"/>
                <w:b/>
                <w:color w:val="000000"/>
              </w:rPr>
              <w:lastRenderedPageBreak/>
              <w:t>RAZEM</w:t>
            </w:r>
          </w:p>
        </w:tc>
        <w:tc>
          <w:tcPr>
            <w:tcW w:w="9356" w:type="dxa"/>
            <w:gridSpan w:val="2"/>
          </w:tcPr>
          <w:p w:rsidR="005F2AE6" w:rsidRPr="003455CF" w:rsidRDefault="005F2AE6" w:rsidP="008D6F62">
            <w:pPr>
              <w:jc w:val="center"/>
              <w:rPr>
                <w:rFonts w:eastAsia="ヒラギノ角ゴ Pro W3" w:cstheme="minorHAnsi"/>
                <w:b/>
                <w:color w:val="000000"/>
              </w:rPr>
            </w:pPr>
            <w:r w:rsidRPr="003455CF">
              <w:rPr>
                <w:rFonts w:eastAsia="ヒラギノ角ゴ Pro W3" w:cstheme="minorHAnsi"/>
                <w:color w:val="000000"/>
              </w:rPr>
              <w:t xml:space="preserve">Minimalna liczba punktów, którą musi uzyskać operacja, aby mogła być wybrana do realizacji wynosi </w:t>
            </w:r>
            <w:r w:rsidRPr="003455CF">
              <w:rPr>
                <w:rFonts w:eastAsia="ヒラギノ角ゴ Pro W3" w:cstheme="minorHAnsi"/>
                <w:b/>
                <w:color w:val="000000"/>
              </w:rPr>
              <w:t>50 % punktów</w:t>
            </w:r>
            <w:r w:rsidRPr="003455CF">
              <w:rPr>
                <w:rFonts w:eastAsia="ヒラギノ角ゴ Pro W3" w:cstheme="minorHAnsi"/>
                <w:color w:val="000000"/>
              </w:rPr>
              <w:t xml:space="preserve"> możliwych do zdobycia</w:t>
            </w:r>
          </w:p>
        </w:tc>
        <w:tc>
          <w:tcPr>
            <w:tcW w:w="2835" w:type="dxa"/>
          </w:tcPr>
          <w:p w:rsidR="005F2AE6" w:rsidRPr="003455CF" w:rsidRDefault="005F2AE6" w:rsidP="008D6F62">
            <w:pPr>
              <w:jc w:val="both"/>
              <w:rPr>
                <w:rFonts w:eastAsia="ヒラギノ角ゴ Pro W3" w:cstheme="minorHAnsi"/>
                <w:color w:val="000000"/>
              </w:rPr>
            </w:pPr>
            <w:r>
              <w:rPr>
                <w:rFonts w:eastAsia="ヒラギノ角ゴ Pro W3" w:cstheme="minorHAnsi"/>
                <w:color w:val="000000"/>
                <w:sz w:val="44"/>
                <w:szCs w:val="44"/>
              </w:rPr>
              <w:t>90</w:t>
            </w:r>
          </w:p>
        </w:tc>
        <w:tc>
          <w:tcPr>
            <w:tcW w:w="1559" w:type="dxa"/>
          </w:tcPr>
          <w:p w:rsidR="005F2AE6" w:rsidRPr="003455CF" w:rsidRDefault="005F2AE6" w:rsidP="008D6F62">
            <w:pPr>
              <w:jc w:val="both"/>
              <w:rPr>
                <w:rFonts w:eastAsia="ヒラギノ角ゴ Pro W3" w:cstheme="minorHAnsi"/>
                <w:color w:val="000000"/>
              </w:rPr>
            </w:pPr>
          </w:p>
        </w:tc>
      </w:tr>
      <w:bookmarkEnd w:id="1"/>
    </w:tbl>
    <w:p w:rsidR="0007068C" w:rsidRDefault="0007068C"/>
    <w:sectPr w:rsidR="0007068C" w:rsidSect="005F2AE6">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221" w:rsidRDefault="006E2221" w:rsidP="005F2AE6">
      <w:pPr>
        <w:spacing w:after="0" w:line="240" w:lineRule="auto"/>
      </w:pPr>
      <w:r>
        <w:separator/>
      </w:r>
    </w:p>
  </w:endnote>
  <w:endnote w:type="continuationSeparator" w:id="0">
    <w:p w:rsidR="006E2221" w:rsidRDefault="006E2221" w:rsidP="005F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221" w:rsidRDefault="006E2221" w:rsidP="005F2AE6">
      <w:pPr>
        <w:spacing w:after="0" w:line="240" w:lineRule="auto"/>
      </w:pPr>
      <w:r>
        <w:separator/>
      </w:r>
    </w:p>
  </w:footnote>
  <w:footnote w:type="continuationSeparator" w:id="0">
    <w:p w:rsidR="006E2221" w:rsidRDefault="006E2221" w:rsidP="005F2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AE6" w:rsidRDefault="005F2AE6" w:rsidP="005F2AE6">
    <w:pPr>
      <w:pStyle w:val="Nagwek"/>
      <w:jc w:val="center"/>
    </w:pPr>
    <w:r w:rsidRPr="005F2AE6">
      <w:rPr>
        <w:noProof/>
      </w:rPr>
      <w:drawing>
        <wp:inline distT="0" distB="0" distL="0" distR="0">
          <wp:extent cx="7410450" cy="807522"/>
          <wp:effectExtent l="0" t="0" r="0" b="0"/>
          <wp:docPr id="4533893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502" cy="8207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2C14"/>
    <w:multiLevelType w:val="hybridMultilevel"/>
    <w:tmpl w:val="04F2F7C8"/>
    <w:lvl w:ilvl="0" w:tplc="524E0F4A">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E6"/>
    <w:rsid w:val="0007068C"/>
    <w:rsid w:val="00493E33"/>
    <w:rsid w:val="005F2AE6"/>
    <w:rsid w:val="006E2221"/>
    <w:rsid w:val="00BE4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29EB4-5598-40F9-BD2A-242FA13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06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2A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AE6"/>
  </w:style>
  <w:style w:type="paragraph" w:styleId="Stopka">
    <w:name w:val="footer"/>
    <w:basedOn w:val="Normalny"/>
    <w:link w:val="StopkaZnak"/>
    <w:uiPriority w:val="99"/>
    <w:semiHidden/>
    <w:unhideWhenUsed/>
    <w:rsid w:val="005F2AE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2AE6"/>
  </w:style>
  <w:style w:type="paragraph" w:styleId="Tekstdymka">
    <w:name w:val="Balloon Text"/>
    <w:basedOn w:val="Normalny"/>
    <w:link w:val="TekstdymkaZnak"/>
    <w:uiPriority w:val="99"/>
    <w:semiHidden/>
    <w:unhideWhenUsed/>
    <w:rsid w:val="005F2A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2AE6"/>
    <w:rPr>
      <w:rFonts w:ascii="Tahoma" w:hAnsi="Tahoma" w:cs="Tahoma"/>
      <w:sz w:val="16"/>
      <w:szCs w:val="16"/>
    </w:rPr>
  </w:style>
  <w:style w:type="paragraph" w:styleId="Akapitzlist">
    <w:name w:val="List Paragraph"/>
    <w:basedOn w:val="Normalny"/>
    <w:uiPriority w:val="34"/>
    <w:qFormat/>
    <w:rsid w:val="005F2AE6"/>
    <w:pPr>
      <w:spacing w:after="160" w:line="259" w:lineRule="auto"/>
      <w:ind w:left="720"/>
      <w:contextualSpacing/>
    </w:pPr>
    <w:rPr>
      <w:kern w:val="2"/>
    </w:rPr>
  </w:style>
  <w:style w:type="paragraph" w:customStyle="1" w:styleId="Normalny2">
    <w:name w:val="Normalny2"/>
    <w:rsid w:val="005F2AE6"/>
    <w:pPr>
      <w:spacing w:after="0"/>
    </w:pPr>
    <w:rPr>
      <w:rFonts w:ascii="Arial" w:eastAsia="Arial" w:hAnsi="Arial" w:cs="Arial"/>
      <w:lang w:eastAsia="pl-PL"/>
    </w:rPr>
  </w:style>
  <w:style w:type="paragraph" w:styleId="Tekstpodstawowy">
    <w:name w:val="Body Text"/>
    <w:basedOn w:val="Normalny"/>
    <w:link w:val="TekstpodstawowyZnak"/>
    <w:uiPriority w:val="99"/>
    <w:unhideWhenUsed/>
    <w:rsid w:val="005F2AE6"/>
    <w:pPr>
      <w:spacing w:after="120" w:line="259" w:lineRule="auto"/>
    </w:pPr>
    <w:rPr>
      <w:rFonts w:ascii="Calibri" w:eastAsia="Calibri" w:hAnsi="Calibri" w:cs="Calibri"/>
      <w:lang w:eastAsia="pl-PL"/>
    </w:rPr>
  </w:style>
  <w:style w:type="character" w:customStyle="1" w:styleId="TekstpodstawowyZnak">
    <w:name w:val="Tekst podstawowy Znak"/>
    <w:basedOn w:val="Domylnaczcionkaakapitu"/>
    <w:link w:val="Tekstpodstawowy"/>
    <w:uiPriority w:val="99"/>
    <w:rsid w:val="005F2AE6"/>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2788</Words>
  <Characters>16729</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Przemysław Draus</cp:lastModifiedBy>
  <cp:revision>2</cp:revision>
  <dcterms:created xsi:type="dcterms:W3CDTF">2025-09-16T09:59:00Z</dcterms:created>
  <dcterms:modified xsi:type="dcterms:W3CDTF">2025-09-16T09:59:00Z</dcterms:modified>
</cp:coreProperties>
</file>